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color w:val="auto"/>
          <w:sz w:val="44"/>
          <w:szCs w:val="44"/>
          <w:highlight w:val="none"/>
          <w:lang w:eastAsia="zh-CN"/>
        </w:rPr>
      </w:pPr>
    </w:p>
    <w:p>
      <w:pPr>
        <w:keepNext w:val="0"/>
        <w:keepLines w:val="0"/>
        <w:pageBreakBefore w:val="0"/>
        <w:widowControl/>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color w:val="auto"/>
          <w:sz w:val="44"/>
          <w:szCs w:val="44"/>
          <w:highlight w:val="none"/>
        </w:rPr>
      </w:pPr>
    </w:p>
    <w:p>
      <w:pPr>
        <w:keepNext w:val="0"/>
        <w:keepLines w:val="0"/>
        <w:pageBreakBefore w:val="0"/>
        <w:widowControl/>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衡阳市生态环境局</w:t>
      </w:r>
    </w:p>
    <w:p>
      <w:pPr>
        <w:keepNext w:val="0"/>
        <w:keepLines w:val="0"/>
        <w:pageBreakBefore w:val="0"/>
        <w:widowControl/>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仿宋_GB2312" w:hAnsi="方正仿宋_GB2312" w:eastAsia="方正小标宋简体" w:cs="方正仿宋_GB2312"/>
          <w:color w:val="auto"/>
          <w:sz w:val="44"/>
          <w:szCs w:val="44"/>
          <w:highlight w:val="none"/>
          <w:lang w:eastAsia="zh-CN"/>
        </w:rPr>
      </w:pPr>
      <w:r>
        <w:rPr>
          <w:rFonts w:hint="eastAsia" w:ascii="方正小标宋简体" w:hAnsi="方正小标宋简体" w:eastAsia="方正小标宋简体" w:cs="方正小标宋简体"/>
          <w:color w:val="auto"/>
          <w:sz w:val="44"/>
          <w:szCs w:val="44"/>
          <w:highlight w:val="none"/>
        </w:rPr>
        <w:t>关于《</w:t>
      </w:r>
      <w:r>
        <w:rPr>
          <w:rFonts w:hint="eastAsia" w:ascii="方正小标宋简体" w:hAnsi="方正小标宋简体" w:eastAsia="方正小标宋简体" w:cs="方正小标宋简体"/>
          <w:color w:val="auto"/>
          <w:sz w:val="44"/>
          <w:szCs w:val="44"/>
          <w:highlight w:val="none"/>
          <w:lang w:val="en-US" w:eastAsia="zh-CN"/>
        </w:rPr>
        <w:t>湖南省衡山县新桥灌区续建配套与节水改造项目</w:t>
      </w:r>
      <w:r>
        <w:rPr>
          <w:rFonts w:hint="eastAsia" w:ascii="方正小标宋简体" w:hAnsi="方正小标宋简体" w:eastAsia="方正小标宋简体" w:cs="方正小标宋简体"/>
          <w:color w:val="auto"/>
          <w:sz w:val="44"/>
          <w:szCs w:val="44"/>
          <w:highlight w:val="none"/>
        </w:rPr>
        <w:t>环境影响报告书》的</w:t>
      </w:r>
      <w:r>
        <w:rPr>
          <w:rFonts w:hint="eastAsia" w:ascii="方正小标宋简体" w:hAnsi="方正小标宋简体" w:eastAsia="方正小标宋简体" w:cs="方正小标宋简体"/>
          <w:color w:val="auto"/>
          <w:sz w:val="44"/>
          <w:szCs w:val="44"/>
          <w:highlight w:val="none"/>
          <w:lang w:val="en-US" w:eastAsia="zh-CN"/>
        </w:rPr>
        <w:t>批复</w:t>
      </w:r>
    </w:p>
    <w:p>
      <w:pPr>
        <w:ind w:left="0" w:leftChars="0" w:firstLine="0" w:firstLineChars="0"/>
        <w:rPr>
          <w:rFonts w:hint="eastAsia" w:ascii="方正仿宋_GB2312" w:hAnsi="方正仿宋_GB2312" w:eastAsia="方正仿宋_GB2312" w:cs="方正仿宋_GB2312"/>
          <w:color w:val="auto"/>
          <w:highlight w:val="none"/>
        </w:rPr>
      </w:pPr>
    </w:p>
    <w:p>
      <w:pPr>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衡山县新桥水库管理所</w:t>
      </w:r>
      <w:r>
        <w:rPr>
          <w:rFonts w:hint="eastAsia" w:ascii="仿宋" w:hAnsi="仿宋" w:eastAsia="仿宋" w:cs="仿宋"/>
          <w:color w:val="auto"/>
          <w:sz w:val="32"/>
          <w:szCs w:val="32"/>
          <w:highlight w:val="none"/>
        </w:rPr>
        <w:t>:</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你公司（</w:t>
      </w:r>
      <w:r>
        <w:rPr>
          <w:rFonts w:hint="eastAsia" w:ascii="仿宋_GB2312" w:hAnsi="仿宋_GB2312" w:eastAsia="仿宋_GB2312" w:cs="仿宋_GB2312"/>
          <w:snapToGrid w:val="0"/>
          <w:color w:val="auto"/>
          <w:spacing w:val="0"/>
          <w:sz w:val="32"/>
          <w:szCs w:val="32"/>
          <w:lang w:eastAsia="zh-CN"/>
        </w:rPr>
        <w:t>地址：</w:t>
      </w:r>
      <w:r>
        <w:rPr>
          <w:rFonts w:hint="eastAsia" w:ascii="仿宋_GB2312" w:hAnsi="仿宋_GB2312" w:eastAsia="仿宋_GB2312" w:cs="仿宋_GB2312"/>
          <w:snapToGrid w:val="0"/>
          <w:color w:val="auto"/>
          <w:spacing w:val="0"/>
          <w:sz w:val="32"/>
          <w:szCs w:val="32"/>
          <w:lang w:val="en-US" w:eastAsia="zh-CN"/>
        </w:rPr>
        <w:t>衡山县新桥镇石井村</w:t>
      </w:r>
      <w:r>
        <w:rPr>
          <w:rFonts w:hint="eastAsia" w:ascii="仿宋_GB2312" w:hAnsi="仿宋_GB2312" w:eastAsia="仿宋_GB2312" w:cs="仿宋_GB2312"/>
          <w:snapToGrid w:val="0"/>
          <w:color w:val="auto"/>
          <w:spacing w:val="0"/>
          <w:sz w:val="32"/>
          <w:szCs w:val="32"/>
          <w:lang w:eastAsia="zh-CN"/>
        </w:rPr>
        <w:t>，法定代表人：</w:t>
      </w:r>
      <w:r>
        <w:rPr>
          <w:rFonts w:hint="eastAsia" w:ascii="仿宋_GB2312" w:hAnsi="仿宋_GB2312" w:eastAsia="仿宋_GB2312" w:cs="仿宋_GB2312"/>
          <w:snapToGrid w:val="0"/>
          <w:color w:val="auto"/>
          <w:spacing w:val="0"/>
          <w:sz w:val="32"/>
          <w:szCs w:val="32"/>
          <w:lang w:val="en-US" w:eastAsia="zh-CN"/>
        </w:rPr>
        <w:fldChar w:fldCharType="begin"/>
      </w:r>
      <w:r>
        <w:rPr>
          <w:rFonts w:hint="eastAsia" w:ascii="仿宋_GB2312" w:hAnsi="仿宋_GB2312" w:eastAsia="仿宋_GB2312" w:cs="仿宋_GB2312"/>
          <w:snapToGrid w:val="0"/>
          <w:color w:val="auto"/>
          <w:spacing w:val="0"/>
          <w:sz w:val="32"/>
          <w:szCs w:val="32"/>
          <w:lang w:val="en-US" w:eastAsia="zh-CN"/>
        </w:rPr>
        <w:instrText xml:space="preserve"> HYPERLINK "https://www.tianyancha.com/human/2147197596-c3098109547" \t "/home/kylin/文档\\x/_blank" </w:instrText>
      </w:r>
      <w:r>
        <w:rPr>
          <w:rFonts w:hint="eastAsia" w:ascii="仿宋_GB2312" w:hAnsi="仿宋_GB2312" w:eastAsia="仿宋_GB2312" w:cs="仿宋_GB2312"/>
          <w:snapToGrid w:val="0"/>
          <w:color w:val="auto"/>
          <w:spacing w:val="0"/>
          <w:sz w:val="32"/>
          <w:szCs w:val="32"/>
          <w:lang w:val="en-US" w:eastAsia="zh-CN"/>
        </w:rPr>
        <w:fldChar w:fldCharType="separate"/>
      </w:r>
      <w:r>
        <w:rPr>
          <w:rFonts w:hint="eastAsia" w:ascii="仿宋_GB2312" w:hAnsi="仿宋_GB2312" w:eastAsia="仿宋_GB2312" w:cs="仿宋_GB2312"/>
          <w:snapToGrid w:val="0"/>
          <w:color w:val="auto"/>
          <w:spacing w:val="0"/>
          <w:sz w:val="32"/>
          <w:szCs w:val="32"/>
          <w:lang w:eastAsia="zh-CN"/>
        </w:rPr>
        <w:t>董文佳</w:t>
      </w:r>
      <w:r>
        <w:rPr>
          <w:rFonts w:hint="eastAsia" w:ascii="仿宋_GB2312" w:hAnsi="仿宋_GB2312" w:eastAsia="仿宋_GB2312" w:cs="仿宋_GB2312"/>
          <w:snapToGrid w:val="0"/>
          <w:color w:val="auto"/>
          <w:spacing w:val="0"/>
          <w:sz w:val="32"/>
          <w:szCs w:val="32"/>
          <w:lang w:val="en-US" w:eastAsia="zh-CN"/>
        </w:rPr>
        <w:fldChar w:fldCharType="end"/>
      </w:r>
      <w:r>
        <w:rPr>
          <w:rFonts w:hint="eastAsia" w:ascii="仿宋_GB2312" w:hAnsi="仿宋_GB2312" w:eastAsia="仿宋_GB2312" w:cs="仿宋_GB2312"/>
          <w:snapToGrid w:val="0"/>
          <w:color w:val="auto"/>
          <w:spacing w:val="0"/>
          <w:sz w:val="32"/>
          <w:szCs w:val="32"/>
          <w:lang w:eastAsia="zh-CN"/>
        </w:rPr>
        <w:t>，统一社会信用代码：12430423445580239Q</w:t>
      </w:r>
      <w:r>
        <w:rPr>
          <w:rFonts w:hint="eastAsia" w:ascii="仿宋_GB2312" w:hAnsi="仿宋_GB2312" w:eastAsia="仿宋_GB2312" w:cs="仿宋_GB2312"/>
          <w:snapToGrid w:val="0"/>
          <w:color w:val="auto"/>
          <w:spacing w:val="0"/>
          <w:sz w:val="32"/>
          <w:szCs w:val="32"/>
          <w:lang w:val="en-US" w:eastAsia="zh-CN"/>
        </w:rPr>
        <w:t>）于2026年3月24日提出建设项目环境影响评价审批报告书（普通类）行政许可申请，我局已依法于2026年3月26日受理，并完成了受理公示和拟审批公示。经审查，你单位提交的</w:t>
      </w:r>
      <w:r>
        <w:rPr>
          <w:rFonts w:hint="eastAsia" w:ascii="仿宋_GB2312" w:hAnsi="仿宋_GB2312" w:eastAsia="仿宋_GB2312" w:cs="仿宋_GB2312"/>
          <w:snapToGrid w:val="0"/>
          <w:color w:val="auto"/>
          <w:spacing w:val="0"/>
          <w:sz w:val="32"/>
          <w:szCs w:val="32"/>
          <w:lang w:eastAsia="zh-CN"/>
        </w:rPr>
        <w:t>《湖南省衡山县新桥灌区续建配套与节水改造项目环境影响报告书》（以下简称《报告书》）符合国家关于建设项目环境影响评价文件审批的有关规定，根据《中华人民共和国行政许可法》第三十八条第一款“申请人的申请符合法定条件、标准的，行政机关应当依法作出准予行政许可的书面决定”以及《中华人民共和国环境影响评价法》第二十二条规定，我局决</w:t>
      </w:r>
      <w:r>
        <w:rPr>
          <w:rFonts w:hint="eastAsia" w:ascii="仿宋_GB2312" w:hAnsi="仿宋_GB2312" w:eastAsia="仿宋_GB2312" w:cs="仿宋_GB2312"/>
          <w:snapToGrid w:val="0"/>
          <w:color w:val="auto"/>
          <w:spacing w:val="0"/>
          <w:sz w:val="32"/>
          <w:szCs w:val="32"/>
          <w:lang w:val="en-US" w:eastAsia="zh-CN"/>
        </w:rPr>
        <w:t>定准予行政许可，并要求具体如下：</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default" w:ascii="仿宋_GB2312" w:hAnsi="仿宋_GB2312" w:eastAsia="仿宋_GB2312" w:cs="仿宋_GB2312"/>
          <w:snapToGrid w:val="0"/>
          <w:color w:val="auto"/>
          <w:spacing w:val="0"/>
          <w:sz w:val="32"/>
          <w:szCs w:val="32"/>
          <w:lang w:val="en-US" w:eastAsia="zh-CN"/>
        </w:rPr>
        <w:t>一</w:t>
      </w:r>
      <w:r>
        <w:rPr>
          <w:rFonts w:hint="default"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衡山县新桥水库管理所拟</w:t>
      </w:r>
      <w:r>
        <w:rPr>
          <w:rFonts w:hint="default" w:ascii="仿宋_GB2312" w:hAnsi="仿宋_GB2312" w:eastAsia="仿宋_GB2312" w:cs="仿宋_GB2312"/>
          <w:snapToGrid w:val="0"/>
          <w:color w:val="auto"/>
          <w:spacing w:val="0"/>
          <w:sz w:val="32"/>
          <w:szCs w:val="32"/>
          <w:lang w:eastAsia="zh-CN"/>
        </w:rPr>
        <w:t>投资8256.05万元</w:t>
      </w:r>
      <w:r>
        <w:rPr>
          <w:rFonts w:hint="eastAsia" w:ascii="仿宋_GB2312" w:hAnsi="仿宋_GB2312" w:eastAsia="仿宋_GB2312" w:cs="仿宋_GB2312"/>
          <w:snapToGrid w:val="0"/>
          <w:color w:val="auto"/>
          <w:spacing w:val="0"/>
          <w:sz w:val="32"/>
          <w:szCs w:val="32"/>
          <w:lang w:val="en-US" w:eastAsia="zh-CN"/>
        </w:rPr>
        <w:t>在</w:t>
      </w:r>
      <w:r>
        <w:rPr>
          <w:rFonts w:hint="default" w:ascii="仿宋_GB2312" w:hAnsi="仿宋_GB2312" w:eastAsia="仿宋_GB2312" w:cs="仿宋_GB2312"/>
          <w:snapToGrid w:val="0"/>
          <w:color w:val="auto"/>
          <w:spacing w:val="0"/>
          <w:sz w:val="32"/>
          <w:szCs w:val="32"/>
          <w:lang w:val="en-US" w:eastAsia="zh-CN"/>
        </w:rPr>
        <w:t>衡山县新桥镇、贯塘乡、白果镇、江东乡</w:t>
      </w:r>
      <w:r>
        <w:rPr>
          <w:rFonts w:hint="eastAsia" w:ascii="仿宋_GB2312" w:hAnsi="仿宋_GB2312" w:eastAsia="仿宋_GB2312" w:cs="仿宋_GB2312"/>
          <w:snapToGrid w:val="0"/>
          <w:color w:val="auto"/>
          <w:spacing w:val="0"/>
          <w:sz w:val="32"/>
          <w:szCs w:val="32"/>
          <w:lang w:val="en-US" w:eastAsia="zh-CN"/>
        </w:rPr>
        <w:t>建设</w:t>
      </w:r>
      <w:r>
        <w:rPr>
          <w:rFonts w:hint="default" w:ascii="仿宋_GB2312" w:hAnsi="仿宋_GB2312" w:eastAsia="仿宋_GB2312" w:cs="仿宋_GB2312"/>
          <w:snapToGrid w:val="0"/>
          <w:color w:val="auto"/>
          <w:spacing w:val="0"/>
          <w:sz w:val="32"/>
          <w:szCs w:val="32"/>
          <w:lang w:val="en-US" w:eastAsia="zh-CN"/>
        </w:rPr>
        <w:t>新桥灌区续建配套与节水改造项目，建设内容主要为：</w:t>
      </w:r>
      <w:r>
        <w:rPr>
          <w:rFonts w:hint="default" w:ascii="仿宋_GB2312" w:hAnsi="仿宋_GB2312" w:eastAsia="仿宋_GB2312" w:cs="仿宋_GB2312"/>
          <w:snapToGrid w:val="0"/>
          <w:color w:val="auto"/>
          <w:spacing w:val="0"/>
          <w:sz w:val="32"/>
          <w:szCs w:val="32"/>
          <w:lang w:eastAsia="zh-CN"/>
        </w:rPr>
        <w:t>①输配水工程：左干渠防渗衬砌9.843km，右干渠防渗衬砌1.983km，主要支渠防渗衬砌19.599km；②渠（沟）系建筑物及配套工程：渡槽加固改造18处，暗涵加固改造共26处，沉砂池1处，节制闸、分水闸共16处，灌溉涵闸门20处，人行桥20处，提灌机房1处，</w:t>
      </w:r>
      <w:r>
        <w:rPr>
          <w:rFonts w:hint="default" w:ascii="仿宋_GB2312" w:hAnsi="仿宋_GB2312" w:eastAsia="仿宋_GB2312" w:cs="仿宋_GB2312"/>
          <w:snapToGrid w:val="0"/>
          <w:color w:val="auto"/>
          <w:spacing w:val="0"/>
          <w:sz w:val="32"/>
          <w:szCs w:val="32"/>
          <w:lang w:val="en-US" w:eastAsia="zh-CN"/>
        </w:rPr>
        <w:t>入渠踏步</w:t>
      </w:r>
      <w:r>
        <w:rPr>
          <w:rFonts w:hint="default" w:ascii="仿宋_GB2312" w:hAnsi="仿宋_GB2312" w:eastAsia="仿宋_GB2312" w:cs="仿宋_GB2312"/>
          <w:snapToGrid w:val="0"/>
          <w:color w:val="auto"/>
          <w:spacing w:val="0"/>
          <w:sz w:val="32"/>
          <w:szCs w:val="32"/>
          <w:lang w:eastAsia="zh-CN"/>
        </w:rPr>
        <w:t>62处，生物通道62处、救生设施</w:t>
      </w:r>
      <w:r>
        <w:rPr>
          <w:rFonts w:hint="default" w:ascii="仿宋_GB2312" w:hAnsi="仿宋_GB2312" w:eastAsia="仿宋_GB2312" w:cs="仿宋_GB2312"/>
          <w:snapToGrid w:val="0"/>
          <w:color w:val="auto"/>
          <w:spacing w:val="0"/>
          <w:sz w:val="32"/>
          <w:szCs w:val="32"/>
          <w:lang w:val="en-US" w:eastAsia="zh-CN"/>
        </w:rPr>
        <w:t>抓杆</w:t>
      </w:r>
      <w:r>
        <w:rPr>
          <w:rFonts w:hint="default" w:ascii="仿宋_GB2312" w:hAnsi="仿宋_GB2312" w:eastAsia="仿宋_GB2312" w:cs="仿宋_GB2312"/>
          <w:snapToGrid w:val="0"/>
          <w:color w:val="auto"/>
          <w:spacing w:val="0"/>
          <w:sz w:val="32"/>
          <w:szCs w:val="32"/>
          <w:lang w:eastAsia="zh-CN"/>
        </w:rPr>
        <w:t>6</w:t>
      </w:r>
      <w:r>
        <w:rPr>
          <w:rFonts w:hint="default" w:ascii="仿宋_GB2312" w:hAnsi="仿宋_GB2312" w:eastAsia="仿宋_GB2312" w:cs="仿宋_GB2312"/>
          <w:snapToGrid w:val="0"/>
          <w:color w:val="auto"/>
          <w:spacing w:val="0"/>
          <w:sz w:val="32"/>
          <w:szCs w:val="32"/>
          <w:lang w:val="en-US" w:eastAsia="zh-CN"/>
        </w:rPr>
        <w:t>2</w:t>
      </w:r>
      <w:r>
        <w:rPr>
          <w:rFonts w:hint="default" w:ascii="仿宋_GB2312" w:hAnsi="仿宋_GB2312" w:eastAsia="仿宋_GB2312" w:cs="仿宋_GB2312"/>
          <w:snapToGrid w:val="0"/>
          <w:color w:val="auto"/>
          <w:spacing w:val="0"/>
          <w:sz w:val="32"/>
          <w:szCs w:val="32"/>
          <w:lang w:eastAsia="zh-CN"/>
        </w:rPr>
        <w:t>处、维养道路4km</w:t>
      </w:r>
      <w:r>
        <w:rPr>
          <w:rFonts w:hint="eastAsia" w:ascii="仿宋_GB2312" w:hAnsi="仿宋_GB2312" w:eastAsia="仿宋_GB2312" w:cs="仿宋_GB2312"/>
          <w:snapToGrid w:val="0"/>
          <w:color w:val="auto"/>
          <w:spacing w:val="0"/>
          <w:sz w:val="32"/>
          <w:szCs w:val="32"/>
          <w:lang w:eastAsia="zh-CN"/>
        </w:rPr>
        <w:t>，弃渣场</w:t>
      </w:r>
      <w:r>
        <w:rPr>
          <w:rFonts w:hint="eastAsia" w:ascii="仿宋_GB2312" w:hAnsi="仿宋_GB2312" w:eastAsia="仿宋_GB2312" w:cs="仿宋_GB2312"/>
          <w:snapToGrid w:val="0"/>
          <w:color w:val="auto"/>
          <w:spacing w:val="0"/>
          <w:sz w:val="32"/>
          <w:szCs w:val="32"/>
          <w:lang w:val="en-US" w:eastAsia="zh-CN"/>
        </w:rPr>
        <w:t>2处</w:t>
      </w:r>
      <w:r>
        <w:rPr>
          <w:rFonts w:hint="default" w:ascii="仿宋_GB2312" w:hAnsi="仿宋_GB2312" w:eastAsia="仿宋_GB2312" w:cs="仿宋_GB2312"/>
          <w:snapToGrid w:val="0"/>
          <w:color w:val="auto"/>
          <w:spacing w:val="0"/>
          <w:sz w:val="32"/>
          <w:szCs w:val="32"/>
          <w:lang w:eastAsia="zh-CN"/>
        </w:rPr>
        <w:t>；③</w:t>
      </w:r>
      <w:r>
        <w:rPr>
          <w:rFonts w:hint="default" w:ascii="仿宋_GB2312" w:hAnsi="仿宋_GB2312" w:eastAsia="仿宋_GB2312" w:cs="仿宋_GB2312"/>
          <w:snapToGrid w:val="0"/>
          <w:color w:val="auto"/>
          <w:spacing w:val="0"/>
          <w:sz w:val="32"/>
          <w:szCs w:val="32"/>
          <w:lang w:val="en-US" w:eastAsia="zh-CN"/>
        </w:rPr>
        <w:t>信息化工程：新增流量监测站15处、雨量站1处、墒情监测站2处、视频监控点27处、闸门自动控制站点14处。项目</w:t>
      </w:r>
      <w:r>
        <w:rPr>
          <w:rFonts w:hint="default" w:ascii="仿宋_GB2312" w:hAnsi="仿宋_GB2312" w:eastAsia="仿宋_GB2312" w:cs="仿宋_GB2312"/>
          <w:snapToGrid w:val="0"/>
          <w:color w:val="auto"/>
          <w:spacing w:val="0"/>
          <w:sz w:val="32"/>
          <w:szCs w:val="32"/>
          <w:lang w:eastAsia="zh-CN"/>
        </w:rPr>
        <w:t>不新增永久占地，临时用地面积为</w:t>
      </w:r>
      <w:r>
        <w:rPr>
          <w:rFonts w:hint="default" w:ascii="仿宋_GB2312" w:hAnsi="仿宋_GB2312" w:eastAsia="仿宋_GB2312" w:cs="仿宋_GB2312"/>
          <w:snapToGrid w:val="0"/>
          <w:color w:val="auto"/>
          <w:spacing w:val="0"/>
          <w:sz w:val="32"/>
          <w:szCs w:val="32"/>
          <w:lang w:val="en-US" w:eastAsia="zh-CN"/>
        </w:rPr>
        <w:t>6.5</w:t>
      </w:r>
      <w:r>
        <w:rPr>
          <w:rFonts w:hint="default" w:ascii="仿宋_GB2312" w:hAnsi="仿宋_GB2312" w:eastAsia="仿宋_GB2312" w:cs="仿宋_GB2312"/>
          <w:snapToGrid w:val="0"/>
          <w:color w:val="auto"/>
          <w:spacing w:val="0"/>
          <w:sz w:val="32"/>
          <w:szCs w:val="32"/>
          <w:lang w:eastAsia="zh-CN"/>
        </w:rPr>
        <w:t>hm</w:t>
      </w:r>
      <w:r>
        <w:rPr>
          <w:rFonts w:hint="default" w:ascii="仿宋_GB2312" w:hAnsi="仿宋_GB2312" w:eastAsia="仿宋_GB2312" w:cs="仿宋_GB2312"/>
          <w:snapToGrid w:val="0"/>
          <w:color w:val="auto"/>
          <w:spacing w:val="0"/>
          <w:sz w:val="32"/>
          <w:szCs w:val="32"/>
          <w:vertAlign w:val="superscript"/>
          <w:lang w:eastAsia="zh-CN"/>
        </w:rPr>
        <w:t>2</w:t>
      </w:r>
      <w:r>
        <w:rPr>
          <w:rFonts w:hint="default" w:ascii="仿宋_GB2312" w:hAnsi="仿宋_GB2312" w:eastAsia="仿宋_GB2312" w:cs="仿宋_GB2312"/>
          <w:snapToGrid w:val="0"/>
          <w:color w:val="auto"/>
          <w:spacing w:val="0"/>
          <w:sz w:val="32"/>
          <w:szCs w:val="32"/>
          <w:lang w:val="en-US" w:eastAsia="zh-CN"/>
        </w:rPr>
        <w:t>。</w:t>
      </w:r>
      <w:r>
        <w:rPr>
          <w:rFonts w:hint="eastAsia" w:ascii="仿宋_GB2312" w:hAnsi="仿宋_GB2312" w:eastAsia="仿宋_GB2312" w:cs="仿宋_GB2312"/>
          <w:snapToGrid w:val="0"/>
          <w:color w:val="auto"/>
          <w:spacing w:val="0"/>
          <w:sz w:val="32"/>
          <w:szCs w:val="32"/>
          <w:lang w:val="en-US" w:eastAsia="zh-CN"/>
        </w:rPr>
        <w:t>其中，涉及生态保护红线（湘中衡阳盆地、祁邵丘陵水土保持、石漠化敏感区）已经衡山县人民政府出具《关于新桥灌区续建配套与节水改造项目符合生态保护红线内允许有限人为活动的认定意见》。该项目已取得衡阳市水利局《关于&lt;湖南省衡山县新桥灌区续建配套与节水改造工程实施方案&gt;的批复》（衡水利〔2025〕54号）。因项目存在“未批先建”违法行为，我局已经对该项目进行立案，并下达了不予行政处罚决定书（衡环（山）不罚〔2026〕2号）。</w:t>
      </w:r>
      <w:r>
        <w:rPr>
          <w:rFonts w:hint="eastAsia" w:ascii="仿宋_GB2312" w:hAnsi="仿宋_GB2312" w:eastAsia="仿宋_GB2312" w:cs="仿宋_GB2312"/>
          <w:snapToGrid w:val="0"/>
          <w:color w:val="auto"/>
          <w:spacing w:val="0"/>
          <w:sz w:val="32"/>
          <w:szCs w:val="32"/>
          <w:lang w:eastAsia="zh-CN"/>
        </w:rPr>
        <w:t>根据《</w:t>
      </w:r>
      <w:r>
        <w:rPr>
          <w:rFonts w:hint="eastAsia" w:ascii="仿宋_GB2312" w:hAnsi="仿宋_GB2312" w:eastAsia="仿宋_GB2312" w:cs="仿宋_GB2312"/>
          <w:snapToGrid w:val="0"/>
          <w:color w:val="auto"/>
          <w:spacing w:val="0"/>
          <w:sz w:val="32"/>
          <w:szCs w:val="32"/>
          <w:lang w:val="en-US" w:eastAsia="zh-CN"/>
        </w:rPr>
        <w:t>报告书》</w:t>
      </w:r>
      <w:r>
        <w:rPr>
          <w:rFonts w:hint="eastAsia" w:ascii="仿宋_GB2312" w:hAnsi="仿宋_GB2312" w:eastAsia="仿宋_GB2312" w:cs="仿宋_GB2312"/>
          <w:snapToGrid w:val="0"/>
          <w:color w:val="auto"/>
          <w:spacing w:val="0"/>
          <w:sz w:val="32"/>
          <w:szCs w:val="32"/>
          <w:lang w:eastAsia="zh-CN"/>
        </w:rPr>
        <w:t>的分析结论和衡阳市环境保护科学研究所评估报告结论、衡阳市生态环境局衡山分局的预审意见，在建设单位按照《报告书》中所列性质、规模、地点、生产工艺进行建设、运营，严格落实《报告书》和本批复提出的各项生态环境保护措施和污染防治措施，并确保各类污染物稳定达标排放符合总量控制的前提下，本项目对环境的不利影响能够得到一定缓解和控制。我局原则同意该项目环境影响报告书的总体评价结论和拟采取的生态环境保护措施。</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default" w:ascii="仿宋_GB2312" w:hAnsi="仿宋_GB2312" w:eastAsia="仿宋_GB2312" w:cs="仿宋_GB2312"/>
          <w:snapToGrid w:val="0"/>
          <w:color w:val="auto"/>
          <w:spacing w:val="0"/>
          <w:sz w:val="32"/>
          <w:szCs w:val="32"/>
          <w:lang w:val="en-US" w:eastAsia="zh-CN"/>
        </w:rPr>
        <w:t>二、</w:t>
      </w:r>
      <w:r>
        <w:rPr>
          <w:rFonts w:hint="eastAsia" w:ascii="仿宋_GB2312" w:hAnsi="仿宋_GB2312" w:eastAsia="仿宋_GB2312" w:cs="仿宋_GB2312"/>
          <w:snapToGrid w:val="0"/>
          <w:color w:val="auto"/>
          <w:spacing w:val="0"/>
          <w:sz w:val="32"/>
          <w:szCs w:val="32"/>
          <w:lang w:val="en-US" w:eastAsia="zh-CN"/>
        </w:rPr>
        <w:t>项目在建设和运行过程中，须全面落实《报告书》及本批复提出的各项</w:t>
      </w:r>
      <w:r>
        <w:rPr>
          <w:rFonts w:hint="default" w:ascii="仿宋_GB2312" w:hAnsi="仿宋_GB2312" w:eastAsia="仿宋_GB2312" w:cs="仿宋_GB2312"/>
          <w:snapToGrid w:val="0"/>
          <w:color w:val="auto"/>
          <w:spacing w:val="0"/>
          <w:sz w:val="32"/>
          <w:szCs w:val="32"/>
          <w:lang w:eastAsia="zh-CN"/>
        </w:rPr>
        <w:t>生态保护与污染防治措施</w:t>
      </w:r>
      <w:r>
        <w:rPr>
          <w:rFonts w:hint="eastAsia" w:ascii="仿宋_GB2312" w:hAnsi="仿宋_GB2312" w:eastAsia="仿宋_GB2312" w:cs="仿宋_GB2312"/>
          <w:snapToGrid w:val="0"/>
          <w:color w:val="auto"/>
          <w:spacing w:val="0"/>
          <w:sz w:val="32"/>
          <w:szCs w:val="32"/>
          <w:lang w:val="en-US" w:eastAsia="zh-CN"/>
        </w:rPr>
        <w:t>，并着重做好以下工作</w:t>
      </w:r>
      <w:r>
        <w:rPr>
          <w:rFonts w:hint="default" w:ascii="仿宋_GB2312" w:hAnsi="仿宋_GB2312" w:eastAsia="仿宋_GB2312" w:cs="仿宋_GB2312"/>
          <w:snapToGrid w:val="0"/>
          <w:color w:val="auto"/>
          <w:spacing w:val="0"/>
          <w:sz w:val="32"/>
          <w:szCs w:val="32"/>
          <w:lang w:val="en-US" w:eastAsia="zh-CN"/>
        </w:rPr>
        <w:t>：</w:t>
      </w:r>
    </w:p>
    <w:p>
      <w:pPr>
        <w:keepNext w:val="0"/>
        <w:keepLines w:val="0"/>
        <w:widowControl/>
        <w:suppressLineNumbers w:val="0"/>
        <w:jc w:val="left"/>
        <w:rPr>
          <w:rFonts w:hint="default"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（一</w:t>
      </w:r>
      <w:r>
        <w:rPr>
          <w:rFonts w:hint="eastAsia" w:ascii="仿宋_GB2312" w:hAnsi="仿宋_GB2312" w:eastAsia="仿宋_GB2312" w:cs="仿宋_GB2312"/>
          <w:snapToGrid w:val="0"/>
          <w:color w:val="auto"/>
          <w:spacing w:val="0"/>
          <w:sz w:val="32"/>
          <w:szCs w:val="32"/>
          <w:lang w:eastAsia="zh-CN"/>
        </w:rPr>
        <w:t>）严格落实生态保护措施。优化施工方案及施工时序，项目应严格控制施工范围，不得越界施工，尽量</w:t>
      </w:r>
      <w:r>
        <w:rPr>
          <w:rFonts w:hint="eastAsia" w:ascii="仿宋_GB2312" w:hAnsi="仿宋_GB2312" w:eastAsia="仿宋_GB2312" w:cs="仿宋_GB2312"/>
          <w:snapToGrid w:val="0"/>
          <w:color w:val="auto"/>
          <w:spacing w:val="0"/>
          <w:sz w:val="32"/>
          <w:szCs w:val="32"/>
          <w:lang w:val="en-US" w:eastAsia="zh-CN"/>
        </w:rPr>
        <w:t>减少工程占地和地表开挖，</w:t>
      </w:r>
      <w:r>
        <w:rPr>
          <w:rFonts w:hint="eastAsia" w:ascii="仿宋_GB2312" w:hAnsi="仿宋_GB2312" w:eastAsia="仿宋_GB2312" w:cs="仿宋_GB2312"/>
          <w:snapToGrid w:val="0"/>
          <w:color w:val="auto"/>
          <w:spacing w:val="0"/>
          <w:sz w:val="32"/>
          <w:szCs w:val="32"/>
          <w:lang w:eastAsia="zh-CN"/>
        </w:rPr>
        <w:t>避免对土壤和植被的破坏；</w:t>
      </w:r>
      <w:r>
        <w:rPr>
          <w:rFonts w:hint="eastAsia" w:ascii="仿宋" w:hAnsi="仿宋" w:eastAsia="仿宋" w:cs="仿宋_GB2312"/>
          <w:color w:val="auto"/>
          <w:kern w:val="2"/>
          <w:sz w:val="32"/>
          <w:szCs w:val="32"/>
          <w:lang w:val="en-US" w:eastAsia="zh-CN" w:bidi="ar-SA"/>
        </w:rPr>
        <w:t>应按要求设置生态保护警示牌，</w:t>
      </w:r>
      <w:r>
        <w:rPr>
          <w:rFonts w:hint="eastAsia" w:ascii="仿宋_GB2312" w:hAnsi="仿宋_GB2312" w:eastAsia="仿宋_GB2312" w:cs="仿宋_GB2312"/>
          <w:snapToGrid w:val="0"/>
          <w:color w:val="auto"/>
          <w:spacing w:val="0"/>
          <w:sz w:val="32"/>
          <w:szCs w:val="32"/>
          <w:lang w:val="en-US" w:eastAsia="zh-CN"/>
        </w:rPr>
        <w:t>严禁在沿线生态保护红线、永久基本农田、饮用水水源保护区等生态敏感区内设置取、弃土（渣）场、堆场及施工生产生活区等临时工程；</w:t>
      </w:r>
      <w:r>
        <w:rPr>
          <w:rFonts w:hint="eastAsia" w:ascii="仿宋_GB2312" w:hAnsi="仿宋_GB2312" w:eastAsia="仿宋_GB2312" w:cs="仿宋_GB2312"/>
          <w:snapToGrid w:val="0"/>
          <w:color w:val="auto"/>
          <w:spacing w:val="0"/>
          <w:sz w:val="32"/>
          <w:szCs w:val="32"/>
          <w:lang w:eastAsia="zh-CN"/>
        </w:rPr>
        <w:t>全面落实水土保持方案施工期措施和要求，</w:t>
      </w:r>
      <w:r>
        <w:rPr>
          <w:rFonts w:hint="eastAsia" w:ascii="仿宋_GB2312" w:hAnsi="仿宋_GB2312" w:eastAsia="仿宋_GB2312" w:cs="仿宋_GB2312"/>
          <w:snapToGrid w:val="0"/>
          <w:color w:val="auto"/>
          <w:spacing w:val="0"/>
          <w:sz w:val="32"/>
          <w:szCs w:val="32"/>
          <w:lang w:val="en-US" w:eastAsia="zh-CN"/>
        </w:rPr>
        <w:t>防止水土流失及植被破坏；加强表土临时堆存区的环境管理，施工时做好表土剥离工作并单独堆存回用；及时做好工程开挖面、弃渣场、施工便道及施工生产生活区等区域的复垦、复绿及生态恢复。</w:t>
      </w:r>
    </w:p>
    <w:p>
      <w:pPr>
        <w:keepNext w:val="0"/>
        <w:keepLines w:val="0"/>
        <w:widowControl/>
        <w:suppressLineNumbers w:val="0"/>
        <w:jc w:val="left"/>
        <w:rPr>
          <w:rFonts w:hint="eastAsia" w:ascii="仿宋_GB2312" w:hAnsi="仿宋_GB2312" w:eastAsia="仿宋_GB2312" w:cs="仿宋_GB2312"/>
          <w:snapToGrid w:val="0"/>
          <w:color w:val="auto"/>
          <w:spacing w:val="0"/>
          <w:sz w:val="32"/>
          <w:szCs w:val="32"/>
          <w:lang w:val="en-US" w:eastAsia="zh-CN"/>
        </w:rPr>
      </w:pPr>
      <w:r>
        <w:rPr>
          <w:rFonts w:hint="default"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二</w:t>
      </w:r>
      <w:r>
        <w:rPr>
          <w:rFonts w:hint="default" w:ascii="仿宋_GB2312" w:hAnsi="仿宋_GB2312" w:eastAsia="仿宋_GB2312" w:cs="仿宋_GB2312"/>
          <w:snapToGrid w:val="0"/>
          <w:color w:val="auto"/>
          <w:spacing w:val="0"/>
          <w:sz w:val="32"/>
          <w:szCs w:val="32"/>
          <w:lang w:eastAsia="zh-CN"/>
        </w:rPr>
        <w:t>）</w:t>
      </w:r>
      <w:r>
        <w:rPr>
          <w:rFonts w:hint="default" w:ascii="仿宋_GB2312" w:hAnsi="仿宋_GB2312" w:eastAsia="仿宋_GB2312" w:cs="仿宋_GB2312"/>
          <w:snapToGrid w:val="0"/>
          <w:color w:val="auto"/>
          <w:spacing w:val="0"/>
          <w:sz w:val="32"/>
          <w:szCs w:val="32"/>
          <w:lang w:val="en-US" w:eastAsia="zh-CN"/>
        </w:rPr>
        <w:t>落实大气污染防治措施。施工期选用符合国家环境保护标准的施工机械和施工车辆，避免非正常工况运行；落实洒水抑尘、湿法作业、车辆清洗、密闭运输、限速行驶等</w:t>
      </w:r>
      <w:r>
        <w:rPr>
          <w:rFonts w:hint="eastAsia" w:ascii="仿宋_GB2312" w:hAnsi="仿宋_GB2312" w:eastAsia="仿宋_GB2312" w:cs="仿宋_GB2312"/>
          <w:snapToGrid w:val="0"/>
          <w:color w:val="auto"/>
          <w:spacing w:val="0"/>
          <w:sz w:val="32"/>
          <w:szCs w:val="32"/>
          <w:lang w:val="en-US" w:eastAsia="zh-CN"/>
        </w:rPr>
        <w:t>降尘</w:t>
      </w:r>
      <w:r>
        <w:rPr>
          <w:rFonts w:hint="default" w:ascii="仿宋_GB2312" w:hAnsi="仿宋_GB2312" w:eastAsia="仿宋_GB2312" w:cs="仿宋_GB2312"/>
          <w:snapToGrid w:val="0"/>
          <w:color w:val="auto"/>
          <w:spacing w:val="0"/>
          <w:sz w:val="32"/>
          <w:szCs w:val="32"/>
          <w:lang w:val="en-US" w:eastAsia="zh-CN"/>
        </w:rPr>
        <w:t>措施</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对敏感点附近的施工点，应配备专用洒水车在施工场地进行定期喷洒，防止扬尘污染</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进一步强化施工场地裸露地表覆盖洒水围挡等抑尘、降尘措施</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施工期无组织大气污染物执行《大气污染物综合排放标准》（GB16297-1996）表2</w:t>
      </w:r>
      <w:r>
        <w:rPr>
          <w:rFonts w:hint="eastAsia" w:ascii="仿宋_GB2312" w:hAnsi="仿宋_GB2312" w:eastAsia="仿宋_GB2312" w:cs="仿宋_GB2312"/>
          <w:snapToGrid w:val="0"/>
          <w:color w:val="auto"/>
          <w:spacing w:val="0"/>
          <w:sz w:val="32"/>
          <w:szCs w:val="32"/>
          <w:lang w:val="en-US" w:eastAsia="zh-CN"/>
        </w:rPr>
        <w:t>无组织排放限值。</w:t>
      </w:r>
    </w:p>
    <w:p>
      <w:pPr>
        <w:keepNext w:val="0"/>
        <w:keepLines w:val="0"/>
        <w:widowControl/>
        <w:suppressLineNumbers w:val="0"/>
        <w:jc w:val="left"/>
        <w:rPr>
          <w:rFonts w:hint="default" w:ascii="仿宋_GB2312" w:hAnsi="仿宋_GB2312" w:eastAsia="仿宋_GB2312" w:cs="仿宋_GB2312"/>
          <w:snapToGrid w:val="0"/>
          <w:color w:val="auto"/>
          <w:spacing w:val="0"/>
          <w:sz w:val="32"/>
          <w:szCs w:val="32"/>
          <w:lang w:val="en-US" w:eastAsia="zh-CN"/>
        </w:rPr>
      </w:pPr>
      <w:r>
        <w:rPr>
          <w:rFonts w:hint="default" w:ascii="仿宋_GB2312" w:hAnsi="仿宋_GB2312" w:eastAsia="仿宋_GB2312" w:cs="仿宋_GB2312"/>
          <w:snapToGrid w:val="0"/>
          <w:color w:val="auto"/>
          <w:spacing w:val="0"/>
          <w:sz w:val="32"/>
          <w:szCs w:val="32"/>
          <w:lang w:eastAsia="zh-CN"/>
        </w:rPr>
        <w:t>（</w:t>
      </w:r>
      <w:r>
        <w:rPr>
          <w:rFonts w:hint="default" w:ascii="仿宋_GB2312" w:hAnsi="仿宋_GB2312" w:eastAsia="仿宋_GB2312" w:cs="仿宋_GB2312"/>
          <w:snapToGrid w:val="0"/>
          <w:color w:val="auto"/>
          <w:spacing w:val="0"/>
          <w:sz w:val="32"/>
          <w:szCs w:val="32"/>
          <w:lang w:val="en-US" w:eastAsia="zh-CN"/>
        </w:rPr>
        <w:t>三）</w:t>
      </w:r>
      <w:r>
        <w:rPr>
          <w:rFonts w:hint="default" w:ascii="仿宋_GB2312" w:hAnsi="仿宋_GB2312" w:eastAsia="仿宋_GB2312" w:cs="仿宋_GB2312"/>
          <w:snapToGrid w:val="0"/>
          <w:color w:val="auto"/>
          <w:spacing w:val="0"/>
          <w:sz w:val="32"/>
          <w:szCs w:val="32"/>
          <w:lang w:eastAsia="zh-CN"/>
        </w:rPr>
        <w:t>落实水污染防治措施。</w:t>
      </w:r>
      <w:r>
        <w:rPr>
          <w:rFonts w:hint="default" w:ascii="仿宋_GB2312" w:hAnsi="仿宋_GB2312" w:eastAsia="仿宋_GB2312" w:cs="仿宋_GB2312"/>
          <w:snapToGrid w:val="0"/>
          <w:color w:val="auto"/>
          <w:spacing w:val="0"/>
          <w:sz w:val="32"/>
          <w:szCs w:val="32"/>
          <w:lang w:val="en-US" w:eastAsia="zh-CN"/>
        </w:rPr>
        <w:t>尽量避开雨季施工，减少因雨水冲刷造成的泥沙流失</w:t>
      </w:r>
      <w:r>
        <w:rPr>
          <w:rFonts w:hint="eastAsia" w:ascii="仿宋_GB2312" w:hAnsi="仿宋_GB2312" w:eastAsia="仿宋_GB2312" w:cs="仿宋_GB2312"/>
          <w:snapToGrid w:val="0"/>
          <w:color w:val="auto"/>
          <w:spacing w:val="0"/>
          <w:sz w:val="32"/>
          <w:szCs w:val="32"/>
          <w:lang w:val="en-US" w:eastAsia="zh-CN"/>
        </w:rPr>
        <w:t>；各</w:t>
      </w:r>
      <w:r>
        <w:rPr>
          <w:rFonts w:hint="default" w:ascii="仿宋_GB2312" w:hAnsi="仿宋_GB2312" w:eastAsia="仿宋_GB2312" w:cs="仿宋_GB2312"/>
          <w:snapToGrid w:val="0"/>
          <w:color w:val="auto"/>
          <w:spacing w:val="0"/>
          <w:sz w:val="32"/>
          <w:szCs w:val="32"/>
          <w:lang w:val="en-US" w:eastAsia="zh-CN"/>
        </w:rPr>
        <w:t>施工区合理设置废水处理设施，施工废水、基坑排水、泥浆水</w:t>
      </w:r>
      <w:r>
        <w:rPr>
          <w:rFonts w:hint="eastAsia" w:ascii="仿宋_GB2312" w:hAnsi="仿宋_GB2312" w:eastAsia="仿宋_GB2312" w:cs="仿宋_GB2312"/>
          <w:snapToGrid w:val="0"/>
          <w:color w:val="auto"/>
          <w:spacing w:val="0"/>
          <w:sz w:val="32"/>
          <w:szCs w:val="32"/>
          <w:lang w:val="en-US" w:eastAsia="zh-CN"/>
        </w:rPr>
        <w:t>、混凝土砌体养护废水以及砼拌和废水经设置的</w:t>
      </w:r>
      <w:r>
        <w:rPr>
          <w:rFonts w:hint="default" w:ascii="仿宋_GB2312" w:hAnsi="仿宋_GB2312" w:eastAsia="仿宋_GB2312" w:cs="仿宋_GB2312"/>
          <w:snapToGrid w:val="0"/>
          <w:color w:val="auto"/>
          <w:spacing w:val="0"/>
          <w:sz w:val="32"/>
          <w:szCs w:val="32"/>
          <w:lang w:val="en-US" w:eastAsia="zh-CN"/>
        </w:rPr>
        <w:t>临时排水沟进行收集</w:t>
      </w:r>
      <w:r>
        <w:rPr>
          <w:rFonts w:hint="eastAsia" w:ascii="仿宋_GB2312" w:hAnsi="仿宋_GB2312" w:eastAsia="仿宋_GB2312" w:cs="仿宋_GB2312"/>
          <w:snapToGrid w:val="0"/>
          <w:color w:val="auto"/>
          <w:spacing w:val="0"/>
          <w:sz w:val="32"/>
          <w:szCs w:val="32"/>
          <w:lang w:val="en-US" w:eastAsia="zh-CN"/>
        </w:rPr>
        <w:t>通过</w:t>
      </w:r>
      <w:r>
        <w:rPr>
          <w:rFonts w:hint="default" w:ascii="仿宋_GB2312" w:hAnsi="仿宋_GB2312" w:eastAsia="仿宋_GB2312" w:cs="仿宋_GB2312"/>
          <w:snapToGrid w:val="0"/>
          <w:color w:val="auto"/>
          <w:spacing w:val="0"/>
          <w:sz w:val="32"/>
          <w:szCs w:val="32"/>
          <w:lang w:val="en-US" w:eastAsia="zh-CN"/>
        </w:rPr>
        <w:t>隔油沉淀池处理后回用于工地范围内洒水抑尘</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不外排</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施工营地、物料堆场远离饮用水水源保护区</w:t>
      </w:r>
      <w:r>
        <w:rPr>
          <w:rFonts w:hint="eastAsia" w:ascii="仿宋_GB2312" w:hAnsi="仿宋_GB2312" w:eastAsia="仿宋_GB2312" w:cs="仿宋_GB2312"/>
          <w:snapToGrid w:val="0"/>
          <w:color w:val="auto"/>
          <w:spacing w:val="0"/>
          <w:sz w:val="32"/>
          <w:szCs w:val="32"/>
          <w:lang w:val="en-US" w:eastAsia="zh-CN"/>
        </w:rPr>
        <w:t>，严格</w:t>
      </w:r>
      <w:r>
        <w:rPr>
          <w:rFonts w:hint="default" w:ascii="仿宋_GB2312" w:hAnsi="仿宋_GB2312" w:eastAsia="仿宋_GB2312" w:cs="仿宋_GB2312"/>
          <w:snapToGrid w:val="0"/>
          <w:color w:val="auto"/>
          <w:spacing w:val="0"/>
          <w:sz w:val="32"/>
          <w:szCs w:val="32"/>
          <w:lang w:val="en-US" w:eastAsia="zh-CN"/>
        </w:rPr>
        <w:t>落实施工期各项环保措施要求，防止工程施工期饮用水源受到污染</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对施工机械定期维护保养，严防机械用油跑、冒、漏、滴现象的发生</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运行期生活污水经三级化粪池处理达到《农田灌溉水质标准》（GB5084-2021）水质标准后用于周边农田灌溉。</w:t>
      </w:r>
    </w:p>
    <w:p>
      <w:pPr>
        <w:keepNext w:val="0"/>
        <w:keepLines w:val="0"/>
        <w:widowControl/>
        <w:suppressLineNumbers w:val="0"/>
        <w:jc w:val="left"/>
        <w:rPr>
          <w:rFonts w:hint="eastAsia"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四）严格落实噪声污染防治措施。建设单位应切实履行主体责任，在施工期制定完善的施工方案和环境管理计划，合理安排施工作业时间，禁止夜间施工，行车路线规划尽量避开居民生活区，靠近居民点、学校等敏感目标段，采取低噪声设备、施工围挡、减震、控制车速等措施；本工程采取分段施工的方式，施工机械间歇性使用，优先选用低噪声设备，采取消声、隔声减振等降噪措施，在施工生产区和钢筋木材加工区周边设置施工围挡，减轻噪声对周边居民的影响。确保</w:t>
      </w:r>
      <w:r>
        <w:rPr>
          <w:rFonts w:hint="default" w:ascii="仿宋_GB2312" w:hAnsi="仿宋_GB2312" w:eastAsia="仿宋_GB2312" w:cs="仿宋_GB2312"/>
          <w:snapToGrid w:val="0"/>
          <w:color w:val="auto"/>
          <w:spacing w:val="0"/>
          <w:sz w:val="32"/>
          <w:szCs w:val="32"/>
          <w:lang w:val="en-US" w:eastAsia="zh-CN"/>
        </w:rPr>
        <w:t>施工期执行《建筑施工噪声排放标准》（GB12523-2025）</w:t>
      </w:r>
      <w:r>
        <w:rPr>
          <w:rFonts w:hint="eastAsia" w:ascii="仿宋_GB2312" w:hAnsi="仿宋_GB2312" w:eastAsia="仿宋_GB2312" w:cs="仿宋_GB2312"/>
          <w:snapToGrid w:val="0"/>
          <w:color w:val="auto"/>
          <w:spacing w:val="0"/>
          <w:sz w:val="32"/>
          <w:szCs w:val="32"/>
          <w:lang w:val="en-US" w:eastAsia="zh-CN"/>
        </w:rPr>
        <w:t>、</w:t>
      </w:r>
      <w:r>
        <w:rPr>
          <w:rFonts w:hint="default" w:ascii="仿宋_GB2312" w:hAnsi="仿宋_GB2312" w:eastAsia="仿宋_GB2312" w:cs="仿宋_GB2312"/>
          <w:snapToGrid w:val="0"/>
          <w:color w:val="auto"/>
          <w:spacing w:val="0"/>
          <w:sz w:val="32"/>
          <w:szCs w:val="32"/>
          <w:lang w:val="en-US" w:eastAsia="zh-CN"/>
        </w:rPr>
        <w:t>运行期厂界执行《工业企业厂界环境噪声排放标准》（GB12348-2008)。</w:t>
      </w:r>
    </w:p>
    <w:p>
      <w:pPr>
        <w:keepNext w:val="0"/>
        <w:keepLines w:val="0"/>
        <w:widowControl/>
        <w:suppressLineNumbers w:val="0"/>
        <w:jc w:val="left"/>
        <w:rPr>
          <w:rFonts w:hint="eastAsia"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（五）落实固体废物管理措施。按照“减量化、资源化、无害化”原则，对固体废物进行分类收集、处理和处置，并确保不造成二次污染；</w:t>
      </w:r>
      <w:r>
        <w:rPr>
          <w:rFonts w:hint="eastAsia" w:ascii="FangSong_GB2312" w:hAnsi="FangSong_GB2312" w:eastAsia="FangSong_GB2312" w:cs="FangSong_GB2312"/>
          <w:color w:val="auto"/>
          <w:sz w:val="32"/>
          <w:szCs w:val="32"/>
        </w:rPr>
        <w:t>不能回用的建筑垃圾需运送至指定的建筑垃圾堆场处理。须严格按</w:t>
      </w:r>
      <w:r>
        <w:rPr>
          <w:rFonts w:hint="eastAsia" w:ascii="FangSong_GB2312" w:hAnsi="FangSong_GB2312" w:eastAsia="FangSong_GB2312" w:cs="FangSong_GB2312"/>
          <w:color w:val="auto"/>
          <w:sz w:val="32"/>
          <w:szCs w:val="32"/>
          <w:lang w:eastAsia="zh-CN"/>
        </w:rPr>
        <w:t>水土保持方案和相关</w:t>
      </w:r>
      <w:r>
        <w:rPr>
          <w:rFonts w:hint="eastAsia" w:ascii="FangSong_GB2312" w:hAnsi="FangSong_GB2312" w:eastAsia="FangSong_GB2312" w:cs="FangSong_GB2312"/>
          <w:color w:val="auto"/>
          <w:sz w:val="32"/>
          <w:szCs w:val="32"/>
        </w:rPr>
        <w:t>技术规范</w:t>
      </w:r>
      <w:r>
        <w:rPr>
          <w:rFonts w:hint="eastAsia" w:ascii="FangSong_GB2312" w:hAnsi="FangSong_GB2312" w:eastAsia="FangSong_GB2312" w:cs="FangSong_GB2312"/>
          <w:color w:val="auto"/>
          <w:sz w:val="32"/>
          <w:szCs w:val="32"/>
          <w:lang w:eastAsia="zh-CN"/>
        </w:rPr>
        <w:t>等</w:t>
      </w:r>
      <w:r>
        <w:rPr>
          <w:rFonts w:hint="eastAsia" w:ascii="FangSong_GB2312" w:hAnsi="FangSong_GB2312" w:eastAsia="FangSong_GB2312" w:cs="FangSong_GB2312"/>
          <w:color w:val="auto"/>
          <w:sz w:val="32"/>
          <w:szCs w:val="32"/>
        </w:rPr>
        <w:t>要求建设弃渣场，</w:t>
      </w:r>
      <w:r>
        <w:rPr>
          <w:rFonts w:hint="eastAsia" w:ascii="FangSong_GB2312" w:hAnsi="FangSong_GB2312" w:eastAsia="FangSong_GB2312" w:cs="FangSong_GB2312"/>
          <w:color w:val="auto"/>
          <w:sz w:val="32"/>
          <w:szCs w:val="32"/>
          <w:lang w:eastAsia="zh-CN"/>
        </w:rPr>
        <w:t>落实拦挡防护和植被恢复等措施，</w:t>
      </w:r>
      <w:r>
        <w:rPr>
          <w:rFonts w:hint="eastAsia" w:ascii="FangSong_GB2312" w:hAnsi="FangSong_GB2312" w:eastAsia="FangSong_GB2312" w:cs="FangSong_GB2312"/>
          <w:color w:val="auto"/>
          <w:sz w:val="32"/>
          <w:szCs w:val="32"/>
        </w:rPr>
        <w:t>防止局部水土流失和地质灾害</w:t>
      </w:r>
      <w:r>
        <w:rPr>
          <w:rFonts w:hint="eastAsia" w:ascii="FangSong_GB2312" w:hAnsi="FangSong_GB2312" w:eastAsia="FangSong_GB2312" w:cs="FangSong_GB2312"/>
          <w:color w:val="auto"/>
          <w:sz w:val="32"/>
          <w:szCs w:val="32"/>
          <w:lang w:eastAsia="zh-CN"/>
        </w:rPr>
        <w:t>；</w:t>
      </w:r>
      <w:r>
        <w:rPr>
          <w:rFonts w:hint="eastAsia" w:ascii="仿宋_GB2312" w:hAnsi="仿宋_GB2312" w:eastAsia="仿宋_GB2312" w:cs="仿宋_GB2312"/>
          <w:snapToGrid w:val="0"/>
          <w:color w:val="auto"/>
          <w:spacing w:val="0"/>
          <w:sz w:val="32"/>
          <w:szCs w:val="32"/>
          <w:lang w:val="en-US" w:eastAsia="zh-CN"/>
        </w:rPr>
        <w:t>清淤淤泥、弃渣运至弃渣场规范堆存，严禁随意倾倒。弃渣场做好拦挡、截排水、覆土复绿，防止水土流失与二次污染；工程施工期间机械设备及车辆维修产生的废机油属于危险废物，经收集后交由当地有资质的单位妥善处置，生活垃圾委托当地环卫部门进行统一收运处理。一般固体废物执行《一般工业固体废物贮存和填埋污染控制标准》（GB18599-2020），危险废物执行《危险废物贮存污染控制标准》（GB18597-2023）。</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kern w:val="0"/>
          <w:sz w:val="32"/>
          <w:szCs w:val="32"/>
          <w:lang w:val="en-US" w:eastAsia="zh-CN" w:bidi="ar-SA"/>
        </w:rPr>
      </w:pPr>
      <w:r>
        <w:rPr>
          <w:rFonts w:hint="eastAsia" w:ascii="仿宋_GB2312" w:hAnsi="仿宋_GB2312" w:eastAsia="仿宋_GB2312" w:cs="仿宋_GB2312"/>
          <w:snapToGrid w:val="0"/>
          <w:color w:val="auto"/>
          <w:spacing w:val="0"/>
          <w:kern w:val="0"/>
          <w:sz w:val="32"/>
          <w:szCs w:val="32"/>
          <w:lang w:val="en-US" w:eastAsia="zh-CN" w:bidi="ar-SA"/>
        </w:rPr>
        <w:t>（六）加强环境风险防范工作。加强项目的日常管理和环境风险防范，确保各项污染防治措施落实到位，按要求开展施工期过程监测及环境监理工作，防范突发环境风险事件。减缓环境风险情况下对环境的不利影响。重点防范施工扰动、油料泄漏、弃渣安全等风险。加强灌区闸站、渡槽、暗涵运行维护，防止溃决、渗漏引发环境风险。加强环保设施安全管理和巡查工作，杜绝发生环保设施安全事故。</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rPr>
      </w:pPr>
      <w:r>
        <w:rPr>
          <w:rFonts w:hint="eastAsia" w:ascii="仿宋_GB2312" w:hAnsi="仿宋_GB2312" w:eastAsia="仿宋_GB2312" w:cs="仿宋_GB2312"/>
          <w:snapToGrid w:val="0"/>
          <w:color w:val="auto"/>
          <w:spacing w:val="0"/>
          <w:sz w:val="32"/>
          <w:szCs w:val="32"/>
          <w:lang w:val="en-US" w:eastAsia="zh-CN"/>
        </w:rPr>
        <w:t>三、</w:t>
      </w:r>
      <w:r>
        <w:rPr>
          <w:rFonts w:hint="eastAsia" w:ascii="仿宋_GB2312" w:hAnsi="仿宋_GB2312" w:eastAsia="仿宋_GB2312" w:cs="仿宋_GB2312"/>
          <w:snapToGrid w:val="0"/>
          <w:color w:val="auto"/>
          <w:spacing w:val="0"/>
          <w:sz w:val="32"/>
          <w:szCs w:val="32"/>
        </w:rPr>
        <w:t>项目建设必须严格执行配套的环境保护设施与主体工程同时设计、同时施工、同时投入使用的“三同时”制度。项目竣工后，按照相关规定做好环保竣工验收工作</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报告书》</w:t>
      </w:r>
      <w:r>
        <w:rPr>
          <w:rFonts w:hint="eastAsia" w:ascii="仿宋_GB2312" w:hAnsi="仿宋_GB2312" w:eastAsia="仿宋_GB2312" w:cs="仿宋_GB2312"/>
          <w:snapToGrid w:val="0"/>
          <w:color w:val="auto"/>
          <w:spacing w:val="0"/>
          <w:sz w:val="32"/>
          <w:szCs w:val="32"/>
        </w:rPr>
        <w:t>经批准后，该项目的性质、规模、地点、生产工艺或者防治污染、防止生态破坏的措施发生重大变动的，须重新报批环境影响报告书。自</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报告书》</w:t>
      </w:r>
      <w:r>
        <w:rPr>
          <w:rFonts w:hint="eastAsia" w:ascii="仿宋_GB2312" w:hAnsi="仿宋_GB2312" w:eastAsia="仿宋_GB2312" w:cs="仿宋_GB2312"/>
          <w:snapToGrid w:val="0"/>
          <w:color w:val="auto"/>
          <w:spacing w:val="0"/>
          <w:sz w:val="32"/>
          <w:szCs w:val="32"/>
        </w:rPr>
        <w:t>批复文件批准之日起，如超过5年方决定工程开工建设的，环境影响报告书应当报我局重新审核。</w:t>
      </w:r>
      <w:r>
        <w:rPr>
          <w:rFonts w:hint="eastAsia" w:ascii="仿宋_GB2312" w:hAnsi="仿宋_GB2312" w:eastAsia="仿宋_GB2312" w:cs="仿宋_GB2312"/>
          <w:snapToGrid w:val="0"/>
          <w:color w:val="auto"/>
          <w:spacing w:val="0"/>
          <w:sz w:val="32"/>
          <w:szCs w:val="32"/>
          <w:lang w:eastAsia="zh-CN"/>
        </w:rPr>
        <w:t>应按要求开展</w:t>
      </w:r>
      <w:r>
        <w:rPr>
          <w:rFonts w:hint="eastAsia" w:ascii="仿宋_GB2312" w:hAnsi="仿宋_GB2312" w:eastAsia="仿宋_GB2312" w:cs="仿宋_GB2312"/>
          <w:snapToGrid w:val="0"/>
          <w:color w:val="auto"/>
          <w:spacing w:val="0"/>
          <w:sz w:val="32"/>
          <w:szCs w:val="32"/>
        </w:rPr>
        <w:t>环境影响后评价</w:t>
      </w:r>
      <w:r>
        <w:rPr>
          <w:rFonts w:hint="eastAsia" w:ascii="仿宋_GB2312" w:hAnsi="仿宋_GB2312" w:eastAsia="仿宋_GB2312" w:cs="仿宋_GB2312"/>
          <w:snapToGrid w:val="0"/>
          <w:color w:val="auto"/>
          <w:spacing w:val="0"/>
          <w:sz w:val="32"/>
          <w:szCs w:val="32"/>
          <w:lang w:eastAsia="zh-CN"/>
        </w:rPr>
        <w:t>工作</w:t>
      </w:r>
      <w:r>
        <w:rPr>
          <w:rFonts w:hint="eastAsia" w:ascii="仿宋_GB2312" w:hAnsi="仿宋_GB2312" w:eastAsia="仿宋_GB2312" w:cs="仿宋_GB2312"/>
          <w:snapToGrid w:val="0"/>
          <w:color w:val="auto"/>
          <w:spacing w:val="0"/>
          <w:sz w:val="32"/>
          <w:szCs w:val="32"/>
        </w:rPr>
        <w:t>，并报我局和建设项目审批部门备案。</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四、你公司应在收到本批复后15个工作日内，将批复及批准的环境影响报告书送衡山县人民政府、衡阳市生态环境局衡山分局。本项目“三同时”监督检查和事中、事后日常环境管理工作由衡阳市生态环境局衡山分局具体负责，并按规定接受各级生态环境行政主管部门的监督检查。</w:t>
      </w:r>
      <w:r>
        <w:rPr>
          <w:rFonts w:hint="eastAsia" w:ascii="仿宋_GB2312" w:hAnsi="仿宋_GB2312" w:eastAsia="仿宋_GB2312" w:cs="仿宋_GB2312"/>
          <w:snapToGrid w:val="0"/>
          <w:color w:val="auto"/>
          <w:spacing w:val="0"/>
          <w:sz w:val="32"/>
          <w:szCs w:val="32"/>
          <w:lang w:val="en-US" w:eastAsia="zh-CN"/>
        </w:rPr>
        <w:br w:type="textWrapping"/>
      </w:r>
      <w:r>
        <w:rPr>
          <w:rFonts w:hint="eastAsia" w:ascii="仿宋_GB2312" w:hAnsi="仿宋_GB2312" w:eastAsia="仿宋_GB2312" w:cs="仿宋_GB2312"/>
          <w:snapToGrid w:val="0"/>
          <w:color w:val="auto"/>
          <w:spacing w:val="0"/>
          <w:sz w:val="32"/>
          <w:szCs w:val="32"/>
          <w:lang w:val="en-US" w:eastAsia="zh-CN"/>
        </w:rPr>
        <w:t xml:space="preserve">    你公司如对本批复不服，可以在收到决定书之日起六十日内依法向衡阳市人民政府申请行政复议，或者六个月内向衡阳铁路运输法院提起行政诉讼。</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eastAsia="zh-CN"/>
        </w:rPr>
      </w:pPr>
    </w:p>
    <w:p>
      <w:pPr>
        <w:pStyle w:val="9"/>
        <w:keepNext w:val="0"/>
        <w:keepLines w:val="0"/>
        <w:pageBreakBefore w:val="0"/>
        <w:widowControl/>
        <w:numPr>
          <w:ilvl w:val="0"/>
          <w:numId w:val="0"/>
        </w:numPr>
        <w:kinsoku/>
        <w:wordWrap w:val="0"/>
        <w:overflowPunct/>
        <w:topLinePunct w:val="0"/>
        <w:autoSpaceDE/>
        <w:autoSpaceDN/>
        <w:bidi w:val="0"/>
        <w:snapToGrid w:val="0"/>
        <w:spacing w:before="0" w:beforeAutospacing="0" w:after="0" w:afterAutospacing="0" w:line="600" w:lineRule="exact"/>
        <w:ind w:right="0" w:rightChars="0" w:firstLine="640" w:firstLineChars="200"/>
        <w:jc w:val="right"/>
        <w:textAlignment w:val="auto"/>
        <w:rPr>
          <w:rFonts w:hint="default"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 xml:space="preserve">                衡阳市生态环境局    </w:t>
      </w:r>
    </w:p>
    <w:p>
      <w:pPr>
        <w:pStyle w:val="9"/>
        <w:keepNext w:val="0"/>
        <w:keepLines w:val="0"/>
        <w:pageBreakBefore w:val="0"/>
        <w:widowControl/>
        <w:numPr>
          <w:ilvl w:val="0"/>
          <w:numId w:val="0"/>
        </w:numPr>
        <w:kinsoku/>
        <w:wordWrap w:val="0"/>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eastAsia" w:ascii="仿宋_GB2312" w:hAnsi="仿宋_GB2312" w:eastAsia="仿宋_GB2312" w:cs="仿宋_GB2312"/>
          <w:snapToGrid w:val="0"/>
          <w:color w:val="auto"/>
          <w:spacing w:val="0"/>
          <w:sz w:val="32"/>
          <w:szCs w:val="32"/>
          <w:lang w:val="en-US" w:eastAsia="zh-CN"/>
        </w:rPr>
      </w:pPr>
      <w:r>
        <w:rPr>
          <w:rFonts w:hint="eastAsia" w:ascii="仿宋_GB2312" w:hAnsi="仿宋_GB2312" w:eastAsia="仿宋_GB2312" w:cs="仿宋_GB2312"/>
          <w:snapToGrid w:val="0"/>
          <w:color w:val="auto"/>
          <w:spacing w:val="0"/>
          <w:sz w:val="32"/>
          <w:szCs w:val="32"/>
          <w:lang w:val="en-US" w:eastAsia="zh-CN"/>
        </w:rPr>
        <w:t>2026年6月4</w:t>
      </w:r>
      <w:bookmarkStart w:id="0" w:name="_GoBack"/>
      <w:bookmarkEnd w:id="0"/>
      <w:r>
        <w:rPr>
          <w:rFonts w:hint="eastAsia" w:ascii="仿宋_GB2312" w:hAnsi="仿宋_GB2312" w:eastAsia="仿宋_GB2312" w:cs="仿宋_GB2312"/>
          <w:snapToGrid w:val="0"/>
          <w:color w:val="auto"/>
          <w:spacing w:val="0"/>
          <w:sz w:val="32"/>
          <w:szCs w:val="32"/>
          <w:lang w:val="en-US" w:eastAsia="zh-CN"/>
        </w:rPr>
        <w:t xml:space="preserve">日   </w:t>
      </w: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9"/>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600" w:lineRule="exact"/>
        <w:ind w:right="0" w:rightChars="0" w:firstLine="3200" w:firstLineChars="1000"/>
        <w:jc w:val="right"/>
        <w:textAlignment w:val="auto"/>
        <w:rPr>
          <w:rFonts w:hint="default" w:ascii="仿宋_GB2312" w:hAnsi="仿宋_GB2312" w:eastAsia="仿宋_GB2312" w:cs="仿宋_GB2312"/>
          <w:snapToGrid w:val="0"/>
          <w:color w:val="auto"/>
          <w:spacing w:val="0"/>
          <w:sz w:val="32"/>
          <w:szCs w:val="32"/>
          <w:lang w:val="en-US" w:eastAsia="zh-CN"/>
        </w:rPr>
      </w:pPr>
    </w:p>
    <w:p>
      <w:pPr>
        <w:pStyle w:val="6"/>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default" w:ascii="仿宋_GB2312" w:hAnsi="仿宋_GB2312" w:eastAsia="仿宋_GB2312" w:cs="仿宋_GB2312"/>
          <w:snapToGrid w:val="0"/>
          <w:color w:val="auto"/>
          <w:spacing w:val="0"/>
          <w:sz w:val="32"/>
          <w:szCs w:val="32"/>
          <w:lang w:val="en-US" w:eastAsia="zh-CN"/>
        </w:rPr>
      </w:pPr>
      <w:r>
        <w:rPr>
          <w:rFonts w:hint="eastAsia" w:ascii="仿宋" w:hAnsi="仿宋" w:eastAsia="仿宋" w:cs="仿宋_GB2312"/>
          <w:color w:val="auto"/>
          <w:kern w:val="2"/>
          <w:sz w:val="32"/>
          <w:szCs w:val="32"/>
          <w:lang w:val="en-US" w:eastAsia="zh-CN" w:bidi="ar-SA"/>
        </w:rPr>
        <w:t>抄送：</w:t>
      </w:r>
      <w:r>
        <w:rPr>
          <w:rFonts w:hint="eastAsia" w:ascii="仿宋_GB2312" w:hAnsi="仿宋_GB2312" w:eastAsia="仿宋_GB2312" w:cs="仿宋_GB2312"/>
          <w:color w:val="auto"/>
          <w:sz w:val="32"/>
          <w:szCs w:val="32"/>
          <w:highlight w:val="none"/>
          <w:lang w:val="en-US" w:eastAsia="zh-CN"/>
        </w:rPr>
        <w:t>衡山县</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衡阳市生态环境局</w:t>
      </w:r>
      <w:r>
        <w:rPr>
          <w:rFonts w:hint="eastAsia" w:ascii="仿宋_GB2312" w:hAnsi="仿宋_GB2312" w:eastAsia="仿宋_GB2312" w:cs="仿宋_GB2312"/>
          <w:color w:val="auto"/>
          <w:sz w:val="32"/>
          <w:szCs w:val="32"/>
          <w:highlight w:val="none"/>
          <w:lang w:val="en-US" w:eastAsia="zh-CN"/>
        </w:rPr>
        <w:t>衡山</w:t>
      </w:r>
      <w:r>
        <w:rPr>
          <w:rFonts w:hint="eastAsia" w:ascii="仿宋_GB2312" w:hAnsi="仿宋_GB2312" w:eastAsia="仿宋_GB2312" w:cs="仿宋_GB2312"/>
          <w:color w:val="auto"/>
          <w:sz w:val="32"/>
          <w:szCs w:val="32"/>
          <w:highlight w:val="none"/>
        </w:rPr>
        <w:t>分局</w:t>
      </w:r>
    </w:p>
    <w:sectPr>
      <w:pgSz w:w="11906" w:h="16838"/>
      <w:pgMar w:top="1440" w:right="1440" w:bottom="144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FangSong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2ZjhmMjIxYmJmNmI5N2U4YjNhYzYyZjA5MTg2MzAifQ=="/>
  </w:docVars>
  <w:rsids>
    <w:rsidRoot w:val="00000000"/>
    <w:rsid w:val="01D01DB8"/>
    <w:rsid w:val="02AA4AEE"/>
    <w:rsid w:val="037214F1"/>
    <w:rsid w:val="04AF10EB"/>
    <w:rsid w:val="08887952"/>
    <w:rsid w:val="0C8B1740"/>
    <w:rsid w:val="0F28295A"/>
    <w:rsid w:val="15A5462A"/>
    <w:rsid w:val="17C36FE9"/>
    <w:rsid w:val="206B7D6A"/>
    <w:rsid w:val="2A2E0C3A"/>
    <w:rsid w:val="2BA2368E"/>
    <w:rsid w:val="2BFC0FF0"/>
    <w:rsid w:val="2D227F11"/>
    <w:rsid w:val="2E9F12BB"/>
    <w:rsid w:val="2FCB3AC7"/>
    <w:rsid w:val="30C62A02"/>
    <w:rsid w:val="31B515CC"/>
    <w:rsid w:val="36A209E6"/>
    <w:rsid w:val="377FE02F"/>
    <w:rsid w:val="3B1C78FE"/>
    <w:rsid w:val="3DBF30E7"/>
    <w:rsid w:val="3FDB6D16"/>
    <w:rsid w:val="3FDF20A9"/>
    <w:rsid w:val="40E16263"/>
    <w:rsid w:val="42F51E9D"/>
    <w:rsid w:val="4698623F"/>
    <w:rsid w:val="471104BE"/>
    <w:rsid w:val="496159B4"/>
    <w:rsid w:val="4AF07B1A"/>
    <w:rsid w:val="4BBB7188"/>
    <w:rsid w:val="4EB212ED"/>
    <w:rsid w:val="4EDE6115"/>
    <w:rsid w:val="52ED0DE3"/>
    <w:rsid w:val="53887198"/>
    <w:rsid w:val="56867584"/>
    <w:rsid w:val="56992E7A"/>
    <w:rsid w:val="58606BF2"/>
    <w:rsid w:val="594E37C5"/>
    <w:rsid w:val="5A815894"/>
    <w:rsid w:val="5B19407A"/>
    <w:rsid w:val="5D6D5848"/>
    <w:rsid w:val="5DA46C2D"/>
    <w:rsid w:val="5F8021F6"/>
    <w:rsid w:val="615564D1"/>
    <w:rsid w:val="64037973"/>
    <w:rsid w:val="66800E54"/>
    <w:rsid w:val="66E80652"/>
    <w:rsid w:val="6D7F6FE9"/>
    <w:rsid w:val="6FDE1F16"/>
    <w:rsid w:val="6FE3700A"/>
    <w:rsid w:val="709E42CA"/>
    <w:rsid w:val="760C2423"/>
    <w:rsid w:val="77E47202"/>
    <w:rsid w:val="79490272"/>
    <w:rsid w:val="7B0F70F5"/>
    <w:rsid w:val="7C0B7388"/>
    <w:rsid w:val="7C3869D7"/>
    <w:rsid w:val="7D4514D4"/>
    <w:rsid w:val="7DC15B2F"/>
    <w:rsid w:val="7FB982FA"/>
    <w:rsid w:val="7FFB12EE"/>
    <w:rsid w:val="AD72BA39"/>
    <w:rsid w:val="BF1BCDF7"/>
    <w:rsid w:val="DD37A690"/>
    <w:rsid w:val="F3FF109B"/>
    <w:rsid w:val="FEF69864"/>
    <w:rsid w:val="FF3D372D"/>
    <w:rsid w:val="FFAC9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480" w:firstLineChars="200"/>
    </w:pPr>
    <w:rPr>
      <w:rFonts w:ascii="宋体" w:hAnsi="宋体" w:eastAsia="宋体" w:cs="宋体"/>
      <w:sz w:val="24"/>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ind w:firstLine="964" w:firstLineChars="200"/>
    </w:pPr>
    <w:rPr>
      <w:rFonts w:eastAsia="宋体"/>
      <w:sz w:val="24"/>
    </w:rPr>
  </w:style>
  <w:style w:type="paragraph" w:styleId="4">
    <w:name w:val="annotation text"/>
    <w:basedOn w:val="1"/>
    <w:qFormat/>
    <w:uiPriority w:val="0"/>
    <w:pPr>
      <w:jc w:val="left"/>
    </w:pPr>
  </w:style>
  <w:style w:type="paragraph" w:styleId="5">
    <w:name w:val="Body Text Indent"/>
    <w:basedOn w:val="1"/>
    <w:next w:val="6"/>
    <w:qFormat/>
    <w:uiPriority w:val="0"/>
    <w:pPr>
      <w:spacing w:after="120"/>
      <w:ind w:left="420" w:leftChars="200"/>
    </w:pPr>
  </w:style>
  <w:style w:type="paragraph" w:styleId="6">
    <w:name w:val="Body Text First Indent 2"/>
    <w:basedOn w:val="5"/>
    <w:next w:val="1"/>
    <w:qFormat/>
    <w:uiPriority w:val="0"/>
    <w:pPr>
      <w:widowControl w:val="0"/>
      <w:spacing w:after="0"/>
      <w:ind w:left="0" w:leftChars="0"/>
      <w:jc w:val="both"/>
    </w:pPr>
    <w:rPr>
      <w:rFonts w:ascii="Times New Roman" w:hAnsi="Times New Roman" w:eastAsia="宋体" w:cs="Times New Roman"/>
      <w:kern w:val="0"/>
      <w:sz w:val="21"/>
      <w:szCs w:val="20"/>
      <w:lang w:val="en-US" w:eastAsia="zh-CN" w:bidi="ar-SA"/>
    </w:rPr>
  </w:style>
  <w:style w:type="paragraph" w:styleId="7">
    <w:name w:val="Plain Text"/>
    <w:basedOn w:val="1"/>
    <w:qFormat/>
    <w:uiPriority w:val="0"/>
    <w:pPr>
      <w:adjustRightInd/>
      <w:snapToGrid/>
      <w:spacing w:line="240" w:lineRule="auto"/>
      <w:ind w:firstLine="0" w:firstLineChars="0"/>
      <w:jc w:val="center"/>
    </w:pPr>
    <w:rPr>
      <w:rFonts w:ascii="宋体" w:hAnsi="Courier New" w:cs="Courier New" w:eastAsiaTheme="minorEastAsia"/>
      <w:bCs/>
      <w:szCs w:val="21"/>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Default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5">
    <w:name w:val="（正文）"/>
    <w:basedOn w:val="7"/>
    <w:next w:val="7"/>
    <w:qFormat/>
    <w:uiPriority w:val="0"/>
    <w:pPr>
      <w:spacing w:line="360" w:lineRule="auto"/>
      <w:ind w:firstLine="200" w:firstLineChars="200"/>
    </w:pPr>
    <w:rPr>
      <w:rFonts w:ascii="宋体" w:hAnsi="宋体" w:eastAsia="宋体" w:cs="宋体"/>
      <w:kern w:val="2"/>
      <w:sz w:val="21"/>
      <w:szCs w:val="22"/>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1524</Words>
  <Characters>1580</Characters>
  <Lines>0</Lines>
  <Paragraphs>0</Paragraphs>
  <TotalTime>6</TotalTime>
  <ScaleCrop>false</ScaleCrop>
  <LinksUpToDate>false</LinksUpToDate>
  <CharactersWithSpaces>1633</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2024-05-12T17:43:00Z</dcterms:created>
  <dc:creator>Administrator</dc:creator>
  <cp:lastModifiedBy>kylin</cp:lastModifiedBy>
  <cp:lastPrinted>2026-06-03T17:35:00Z</cp:lastPrinted>
  <dcterms:modified xsi:type="dcterms:W3CDTF">2026-06-04T17:52:07Z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F119853BBCA34BE5A4CC3FDD6DA2A498_12</vt:lpwstr>
  </property>
  <property fmtid="{D5CDD505-2E9C-101B-9397-08002B2CF9AE}" pid="4" name="KSOTemplateDocerSaveRecord">
    <vt:lpwstr>eyJoZGlkIjoiNjgxYTljYTQwZmY5OWY4NTEyNzY4Y2U1YjM3MGU4YTMiLCJ1c2VySWQiOiI0NDg0NzE0MjkifQ==</vt:lpwstr>
  </property>
</Properties>
</file>