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0" w:firstLineChars="0"/>
        <w:jc w:val="both"/>
        <w:textAlignment w:val="auto"/>
        <w:rPr>
          <w:rFonts w:hint="default" w:ascii="仿宋_GB2312" w:hAnsi="仿宋_GB2312" w:eastAsia="仿宋_GB2312" w:cs="仿宋_GB2312"/>
          <w:snapToGrid w:val="0"/>
          <w:color w:val="auto"/>
          <w:spacing w:val="0"/>
          <w:kern w:val="0"/>
          <w:sz w:val="32"/>
          <w:szCs w:val="32"/>
          <w:lang w:val="en-US" w:eastAsia="zh-CN" w:bidi="ar"/>
        </w:rPr>
      </w:pPr>
      <w:bookmarkStart w:id="0" w:name="_GoBack"/>
      <w:bookmarkEnd w:id="0"/>
    </w:p>
    <w:p>
      <w:pPr>
        <w:snapToGrid w:val="0"/>
        <w:spacing w:before="800" w:after="600" w:line="800" w:lineRule="exact"/>
        <w:jc w:val="center"/>
        <w:rPr>
          <w:rFonts w:ascii="Times New Roman" w:eastAsia="方正小标宋_GBK"/>
          <w:color w:val="auto"/>
          <w:sz w:val="44"/>
          <w:szCs w:val="44"/>
          <w:highlight w:val="none"/>
        </w:rPr>
      </w:pPr>
      <w:r>
        <w:rPr>
          <w:rFonts w:hint="default" w:eastAsia="方正小标宋_GBK"/>
          <w:color w:val="auto"/>
          <w:sz w:val="44"/>
          <w:szCs w:val="44"/>
          <w:highlight w:val="none"/>
          <w:lang w:eastAsia="zh-CN"/>
        </w:rPr>
        <w:t>衡阳市生态环境局</w:t>
      </w:r>
      <w:r>
        <w:rPr>
          <w:rFonts w:hint="default" w:ascii="Times New Roman" w:eastAsia="方正小标宋_GBK"/>
          <w:color w:val="auto"/>
          <w:sz w:val="44"/>
          <w:szCs w:val="44"/>
          <w:highlight w:val="none"/>
        </w:rPr>
        <w:br w:type="textWrapping"/>
      </w:r>
      <w:r>
        <w:rPr>
          <w:rFonts w:hint="default" w:ascii="Times New Roman" w:eastAsia="方正小标宋_GBK"/>
          <w:color w:val="auto"/>
          <w:sz w:val="44"/>
          <w:szCs w:val="44"/>
          <w:highlight w:val="none"/>
        </w:rPr>
        <w:t>关于</w:t>
      </w:r>
      <w:r>
        <w:rPr>
          <w:rFonts w:hint="eastAsia" w:eastAsia="方正小标宋_GBK"/>
          <w:color w:val="auto"/>
          <w:sz w:val="44"/>
          <w:szCs w:val="44"/>
          <w:highlight w:val="none"/>
          <w:lang w:eastAsia="zh-CN"/>
        </w:rPr>
        <w:t>《</w:t>
      </w:r>
      <w:r>
        <w:rPr>
          <w:rFonts w:hint="default" w:ascii="Times New Roman" w:eastAsia="方正小标宋_GBK"/>
          <w:color w:val="auto"/>
          <w:sz w:val="44"/>
          <w:szCs w:val="44"/>
          <w:highlight w:val="none"/>
          <w:lang w:eastAsia="zh-CN"/>
        </w:rPr>
        <w:t>湖南省鸿城纸业有限公司年产</w:t>
      </w:r>
      <w:r>
        <w:rPr>
          <w:rFonts w:hint="default" w:ascii="Times New Roman" w:eastAsia="方正小标宋_GBK"/>
          <w:color w:val="auto"/>
          <w:sz w:val="44"/>
          <w:szCs w:val="44"/>
          <w:highlight w:val="none"/>
          <w:lang w:val="en-US" w:eastAsia="zh-CN"/>
        </w:rPr>
        <w:t>4</w:t>
      </w:r>
      <w:r>
        <w:rPr>
          <w:rFonts w:hint="default" w:ascii="Times New Roman" w:eastAsia="方正小标宋_GBK"/>
          <w:color w:val="auto"/>
          <w:sz w:val="44"/>
          <w:szCs w:val="44"/>
          <w:highlight w:val="none"/>
          <w:lang w:eastAsia="zh-CN"/>
        </w:rPr>
        <w:t>万吨特种纸造纸技术改造项目</w:t>
      </w:r>
      <w:r>
        <w:rPr>
          <w:rFonts w:hint="default" w:ascii="Times New Roman" w:eastAsia="方正小标宋_GBK"/>
          <w:color w:val="auto"/>
          <w:sz w:val="44"/>
          <w:szCs w:val="44"/>
          <w:highlight w:val="none"/>
        </w:rPr>
        <w:t>环境影响报告书</w:t>
      </w:r>
      <w:r>
        <w:rPr>
          <w:rFonts w:hint="eastAsia" w:eastAsia="方正小标宋_GBK"/>
          <w:color w:val="auto"/>
          <w:sz w:val="44"/>
          <w:szCs w:val="44"/>
          <w:highlight w:val="none"/>
          <w:lang w:eastAsia="zh-CN"/>
        </w:rPr>
        <w:t>》</w:t>
      </w:r>
      <w:r>
        <w:rPr>
          <w:rFonts w:hint="default" w:ascii="Times New Roman" w:eastAsia="方正小标宋_GBK"/>
          <w:color w:val="auto"/>
          <w:sz w:val="44"/>
          <w:szCs w:val="44"/>
          <w:highlight w:val="none"/>
        </w:rPr>
        <w:t>的批复</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jc w:val="both"/>
        <w:textAlignment w:val="auto"/>
        <w:rPr>
          <w:rFonts w:hint="default" w:ascii="仿宋_GB2312" w:hAnsi="仿宋_GB2312" w:eastAsia="仿宋_GB2312" w:cs="仿宋_GB2312"/>
          <w:snapToGrid w:val="0"/>
          <w:color w:val="auto"/>
          <w:spacing w:val="0"/>
          <w:sz w:val="32"/>
          <w:szCs w:val="32"/>
        </w:rPr>
      </w:pPr>
      <w:r>
        <w:rPr>
          <w:rFonts w:hint="default" w:ascii="仿宋_GB2312" w:hAnsi="仿宋_GB2312" w:eastAsia="仿宋_GB2312" w:cs="仿宋_GB2312"/>
          <w:snapToGrid w:val="0"/>
          <w:color w:val="auto"/>
          <w:spacing w:val="0"/>
          <w:sz w:val="32"/>
          <w:szCs w:val="32"/>
          <w:lang w:eastAsia="zh-CN"/>
        </w:rPr>
        <w:t>湖南省鸿城纸业有限公司</w:t>
      </w:r>
      <w:r>
        <w:rPr>
          <w:rFonts w:hint="default" w:ascii="仿宋_GB2312" w:hAnsi="仿宋_GB2312" w:eastAsia="仿宋_GB2312" w:cs="仿宋_GB2312"/>
          <w:snapToGrid w:val="0"/>
          <w:color w:val="auto"/>
          <w:spacing w:val="0"/>
          <w:sz w:val="32"/>
          <w:szCs w:val="32"/>
        </w:rPr>
        <w:t>：</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rPr>
      </w:pPr>
      <w:r>
        <w:rPr>
          <w:rFonts w:hint="default" w:ascii="仿宋_GB2312" w:hAnsi="仿宋_GB2312" w:eastAsia="仿宋_GB2312" w:cs="仿宋_GB2312"/>
          <w:snapToGrid w:val="0"/>
          <w:color w:val="auto"/>
          <w:spacing w:val="0"/>
          <w:sz w:val="32"/>
          <w:szCs w:val="32"/>
          <w:lang w:val="en-US" w:eastAsia="zh-CN"/>
        </w:rPr>
        <w:t>你公司（</w:t>
      </w:r>
      <w:r>
        <w:rPr>
          <w:rFonts w:hint="default" w:ascii="仿宋_GB2312" w:hAnsi="仿宋_GB2312" w:eastAsia="仿宋_GB2312" w:cs="仿宋_GB2312"/>
          <w:snapToGrid w:val="0"/>
          <w:color w:val="auto"/>
          <w:spacing w:val="0"/>
          <w:sz w:val="32"/>
          <w:szCs w:val="32"/>
        </w:rPr>
        <w:t>地址：湖南省衡阳市衡山县长江镇新源村15组，法人代表：</w:t>
      </w:r>
      <w:r>
        <w:rPr>
          <w:rFonts w:hint="default" w:ascii="仿宋_GB2312" w:hAnsi="仿宋_GB2312" w:eastAsia="仿宋_GB2312" w:cs="仿宋_GB2312"/>
          <w:snapToGrid w:val="0"/>
          <w:color w:val="auto"/>
          <w:spacing w:val="0"/>
          <w:sz w:val="32"/>
          <w:szCs w:val="32"/>
          <w:lang w:val="en-US" w:eastAsia="zh-CN"/>
        </w:rPr>
        <w:fldChar w:fldCharType="begin"/>
      </w:r>
      <w:r>
        <w:rPr>
          <w:rFonts w:hint="default" w:ascii="仿宋_GB2312" w:hAnsi="仿宋_GB2312" w:eastAsia="仿宋_GB2312" w:cs="仿宋_GB2312"/>
          <w:snapToGrid w:val="0"/>
          <w:color w:val="auto"/>
          <w:spacing w:val="0"/>
          <w:sz w:val="32"/>
          <w:szCs w:val="32"/>
          <w:lang w:val="en-US" w:eastAsia="zh-CN"/>
        </w:rPr>
        <w:instrText xml:space="preserve"> HYPERLINK "https://www.tianyancha.com/human/1894427797-c229097481" \t "/home/kylin/文档\\x/_blank" </w:instrText>
      </w:r>
      <w:r>
        <w:rPr>
          <w:rFonts w:hint="default" w:ascii="仿宋_GB2312" w:hAnsi="仿宋_GB2312" w:eastAsia="仿宋_GB2312" w:cs="仿宋_GB2312"/>
          <w:snapToGrid w:val="0"/>
          <w:color w:val="auto"/>
          <w:spacing w:val="0"/>
          <w:sz w:val="32"/>
          <w:szCs w:val="32"/>
          <w:lang w:val="en-US" w:eastAsia="zh-CN"/>
        </w:rPr>
        <w:fldChar w:fldCharType="separate"/>
      </w:r>
      <w:r>
        <w:rPr>
          <w:rFonts w:hint="default" w:ascii="仿宋_GB2312" w:hAnsi="仿宋_GB2312" w:eastAsia="仿宋_GB2312" w:cs="仿宋_GB2312"/>
          <w:snapToGrid w:val="0"/>
          <w:color w:val="auto"/>
          <w:spacing w:val="0"/>
          <w:sz w:val="32"/>
          <w:szCs w:val="32"/>
        </w:rPr>
        <w:t>宾卫民</w:t>
      </w:r>
      <w:r>
        <w:rPr>
          <w:rFonts w:hint="default" w:ascii="仿宋_GB2312" w:hAnsi="仿宋_GB2312" w:eastAsia="仿宋_GB2312" w:cs="仿宋_GB2312"/>
          <w:snapToGrid w:val="0"/>
          <w:color w:val="auto"/>
          <w:spacing w:val="0"/>
          <w:sz w:val="32"/>
          <w:szCs w:val="32"/>
          <w:lang w:val="en-US" w:eastAsia="zh-CN"/>
        </w:rPr>
        <w:fldChar w:fldCharType="end"/>
      </w:r>
      <w:r>
        <w:rPr>
          <w:rFonts w:hint="default" w:ascii="仿宋_GB2312" w:hAnsi="仿宋_GB2312" w:eastAsia="仿宋_GB2312" w:cs="仿宋_GB2312"/>
          <w:snapToGrid w:val="0"/>
          <w:color w:val="auto"/>
          <w:spacing w:val="0"/>
          <w:sz w:val="32"/>
          <w:szCs w:val="32"/>
        </w:rPr>
        <w:t>，统一社会信用代码：</w:t>
      </w:r>
      <w:r>
        <w:rPr>
          <w:rFonts w:hint="default" w:ascii="仿宋_GB2312" w:hAnsi="仿宋_GB2312" w:eastAsia="仿宋_GB2312" w:cs="仿宋_GB2312"/>
          <w:snapToGrid w:val="0"/>
          <w:color w:val="auto"/>
          <w:spacing w:val="0"/>
          <w:sz w:val="32"/>
          <w:szCs w:val="32"/>
          <w:lang w:val="en-US" w:eastAsia="zh-CN"/>
        </w:rPr>
        <w:t>91430423763264266W）</w:t>
      </w:r>
      <w:r>
        <w:rPr>
          <w:rFonts w:hint="default" w:ascii="仿宋_GB2312" w:hAnsi="仿宋_GB2312" w:eastAsia="仿宋_GB2312" w:cs="仿宋_GB2312"/>
          <w:snapToGrid w:val="0"/>
          <w:color w:val="auto"/>
          <w:spacing w:val="0"/>
          <w:sz w:val="32"/>
          <w:szCs w:val="32"/>
        </w:rPr>
        <w:t>于202</w:t>
      </w:r>
      <w:r>
        <w:rPr>
          <w:rFonts w:hint="default" w:ascii="仿宋_GB2312" w:hAnsi="仿宋_GB2312" w:eastAsia="仿宋_GB2312" w:cs="仿宋_GB2312"/>
          <w:snapToGrid w:val="0"/>
          <w:color w:val="auto"/>
          <w:spacing w:val="0"/>
          <w:sz w:val="32"/>
          <w:szCs w:val="32"/>
          <w:lang w:val="en" w:eastAsia="zh-CN"/>
        </w:rPr>
        <w:t>6</w:t>
      </w:r>
      <w:r>
        <w:rPr>
          <w:rFonts w:hint="default" w:ascii="仿宋_GB2312" w:hAnsi="仿宋_GB2312" w:eastAsia="仿宋_GB2312" w:cs="仿宋_GB2312"/>
          <w:snapToGrid w:val="0"/>
          <w:color w:val="auto"/>
          <w:spacing w:val="0"/>
          <w:sz w:val="32"/>
          <w:szCs w:val="32"/>
        </w:rPr>
        <w:t>年</w:t>
      </w:r>
      <w:r>
        <w:rPr>
          <w:rFonts w:hint="eastAsia" w:ascii="仿宋_GB2312" w:hAnsi="仿宋_GB2312" w:eastAsia="仿宋_GB2312" w:cs="仿宋_GB2312"/>
          <w:snapToGrid w:val="0"/>
          <w:color w:val="auto"/>
          <w:spacing w:val="0"/>
          <w:sz w:val="32"/>
          <w:szCs w:val="32"/>
          <w:lang w:val="en-US" w:eastAsia="zh-CN"/>
        </w:rPr>
        <w:t>4</w:t>
      </w:r>
      <w:r>
        <w:rPr>
          <w:rFonts w:hint="default" w:ascii="仿宋_GB2312" w:hAnsi="仿宋_GB2312" w:eastAsia="仿宋_GB2312" w:cs="仿宋_GB2312"/>
          <w:snapToGrid w:val="0"/>
          <w:color w:val="auto"/>
          <w:spacing w:val="0"/>
          <w:sz w:val="32"/>
          <w:szCs w:val="32"/>
        </w:rPr>
        <w:t>月</w:t>
      </w:r>
      <w:r>
        <w:rPr>
          <w:rFonts w:hint="eastAsia" w:ascii="仿宋_GB2312" w:hAnsi="仿宋_GB2312" w:eastAsia="仿宋_GB2312" w:cs="仿宋_GB2312"/>
          <w:snapToGrid w:val="0"/>
          <w:color w:val="auto"/>
          <w:spacing w:val="0"/>
          <w:sz w:val="32"/>
          <w:szCs w:val="32"/>
          <w:lang w:val="en-US" w:eastAsia="zh-CN"/>
        </w:rPr>
        <w:t>24</w:t>
      </w:r>
      <w:r>
        <w:rPr>
          <w:rFonts w:hint="default" w:ascii="仿宋_GB2312" w:hAnsi="仿宋_GB2312" w:eastAsia="仿宋_GB2312" w:cs="仿宋_GB2312"/>
          <w:snapToGrid w:val="0"/>
          <w:color w:val="auto"/>
          <w:spacing w:val="0"/>
          <w:sz w:val="32"/>
          <w:szCs w:val="32"/>
        </w:rPr>
        <w:t>日提出建设项目环境影响评价审批报告书（普通类）行政许可申请，</w:t>
      </w:r>
      <w:r>
        <w:rPr>
          <w:rFonts w:hint="default" w:ascii="仿宋_GB2312" w:hAnsi="仿宋_GB2312" w:eastAsia="仿宋_GB2312" w:cs="仿宋_GB2312"/>
          <w:snapToGrid w:val="0"/>
          <w:color w:val="auto"/>
          <w:spacing w:val="0"/>
          <w:sz w:val="32"/>
          <w:szCs w:val="32"/>
          <w:lang w:val="en-US" w:eastAsia="zh-CN"/>
        </w:rPr>
        <w:t>我</w:t>
      </w:r>
      <w:r>
        <w:rPr>
          <w:rFonts w:hint="eastAsia" w:ascii="仿宋_GB2312" w:hAnsi="仿宋_GB2312" w:cs="仿宋_GB2312"/>
          <w:snapToGrid w:val="0"/>
          <w:color w:val="auto"/>
          <w:spacing w:val="0"/>
          <w:sz w:val="32"/>
          <w:szCs w:val="32"/>
          <w:lang w:eastAsia="zh-CN"/>
        </w:rPr>
        <w:t>局</w:t>
      </w:r>
      <w:r>
        <w:rPr>
          <w:rFonts w:hint="default" w:ascii="仿宋_GB2312" w:hAnsi="仿宋_GB2312" w:eastAsia="仿宋_GB2312" w:cs="仿宋_GB2312"/>
          <w:snapToGrid w:val="0"/>
          <w:color w:val="auto"/>
          <w:spacing w:val="0"/>
          <w:sz w:val="32"/>
          <w:szCs w:val="32"/>
        </w:rPr>
        <w:t>已依法于202</w:t>
      </w:r>
      <w:r>
        <w:rPr>
          <w:rFonts w:hint="default" w:ascii="仿宋_GB2312" w:hAnsi="仿宋_GB2312" w:eastAsia="仿宋_GB2312" w:cs="仿宋_GB2312"/>
          <w:snapToGrid w:val="0"/>
          <w:color w:val="auto"/>
          <w:spacing w:val="0"/>
          <w:sz w:val="32"/>
          <w:szCs w:val="32"/>
          <w:lang w:val="en" w:eastAsia="zh-CN"/>
        </w:rPr>
        <w:t>6</w:t>
      </w:r>
      <w:r>
        <w:rPr>
          <w:rFonts w:hint="default" w:ascii="仿宋_GB2312" w:hAnsi="仿宋_GB2312" w:eastAsia="仿宋_GB2312" w:cs="仿宋_GB2312"/>
          <w:snapToGrid w:val="0"/>
          <w:color w:val="auto"/>
          <w:spacing w:val="0"/>
          <w:sz w:val="32"/>
          <w:szCs w:val="32"/>
        </w:rPr>
        <w:t>年</w:t>
      </w:r>
      <w:r>
        <w:rPr>
          <w:rFonts w:hint="eastAsia" w:ascii="仿宋_GB2312" w:hAnsi="仿宋_GB2312" w:eastAsia="仿宋_GB2312" w:cs="仿宋_GB2312"/>
          <w:snapToGrid w:val="0"/>
          <w:color w:val="auto"/>
          <w:spacing w:val="0"/>
          <w:sz w:val="32"/>
          <w:szCs w:val="32"/>
          <w:lang w:val="en-US" w:eastAsia="zh-CN"/>
        </w:rPr>
        <w:t>4</w:t>
      </w:r>
      <w:r>
        <w:rPr>
          <w:rFonts w:hint="default" w:ascii="仿宋_GB2312" w:hAnsi="仿宋_GB2312" w:eastAsia="仿宋_GB2312" w:cs="仿宋_GB2312"/>
          <w:snapToGrid w:val="0"/>
          <w:color w:val="auto"/>
          <w:spacing w:val="0"/>
          <w:sz w:val="32"/>
          <w:szCs w:val="32"/>
        </w:rPr>
        <w:t>月</w:t>
      </w:r>
      <w:r>
        <w:rPr>
          <w:rFonts w:hint="eastAsia" w:ascii="仿宋_GB2312" w:hAnsi="仿宋_GB2312" w:eastAsia="仿宋_GB2312" w:cs="仿宋_GB2312"/>
          <w:snapToGrid w:val="0"/>
          <w:color w:val="auto"/>
          <w:spacing w:val="0"/>
          <w:sz w:val="32"/>
          <w:szCs w:val="32"/>
          <w:lang w:val="en-US" w:eastAsia="zh-CN"/>
        </w:rPr>
        <w:t>24</w:t>
      </w:r>
      <w:r>
        <w:rPr>
          <w:rFonts w:hint="default" w:ascii="仿宋_GB2312" w:hAnsi="仿宋_GB2312" w:eastAsia="仿宋_GB2312" w:cs="仿宋_GB2312"/>
          <w:snapToGrid w:val="0"/>
          <w:color w:val="auto"/>
          <w:spacing w:val="0"/>
          <w:sz w:val="32"/>
          <w:szCs w:val="32"/>
        </w:rPr>
        <w:t>日受理，并完成了受理公示和拟审查公示。根据衡阳市生态环境局衡山分局预审意见及衡阳市环境保护科学研究所《关于报送&lt;湖南省鸿城纸业有限公司年产4万吨特种纸造纸技术改造项目环境影响报告书&gt;技术评估报告的函》</w:t>
      </w:r>
      <w:r>
        <w:rPr>
          <w:rFonts w:hint="eastAsia" w:ascii="仿宋_GB2312" w:hAnsi="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rPr>
        <w:t>经审查，你单位</w:t>
      </w:r>
      <w:r>
        <w:rPr>
          <w:rFonts w:hint="default" w:ascii="仿宋_GB2312" w:hAnsi="仿宋_GB2312" w:eastAsia="仿宋_GB2312" w:cs="仿宋_GB2312"/>
          <w:snapToGrid w:val="0"/>
          <w:color w:val="auto"/>
          <w:spacing w:val="0"/>
          <w:sz w:val="32"/>
          <w:szCs w:val="32"/>
          <w:lang w:eastAsia="zh-CN"/>
        </w:rPr>
        <w:t>提交的</w:t>
      </w:r>
      <w:r>
        <w:rPr>
          <w:rFonts w:hint="default" w:ascii="仿宋_GB2312" w:hAnsi="仿宋_GB2312" w:eastAsia="仿宋_GB2312" w:cs="仿宋_GB2312"/>
          <w:snapToGrid w:val="0"/>
          <w:color w:val="auto"/>
          <w:spacing w:val="0"/>
          <w:sz w:val="32"/>
          <w:szCs w:val="32"/>
        </w:rPr>
        <w:t>《</w:t>
      </w:r>
      <w:r>
        <w:rPr>
          <w:rFonts w:hint="default" w:ascii="仿宋_GB2312" w:hAnsi="仿宋_GB2312" w:eastAsia="仿宋_GB2312" w:cs="仿宋_GB2312"/>
          <w:snapToGrid w:val="0"/>
          <w:color w:val="auto"/>
          <w:spacing w:val="0"/>
          <w:sz w:val="32"/>
          <w:szCs w:val="32"/>
          <w:lang w:eastAsia="zh-CN"/>
        </w:rPr>
        <w:t>湖南省鸿城纸业有限公司年产</w:t>
      </w:r>
      <w:r>
        <w:rPr>
          <w:rFonts w:hint="default" w:ascii="仿宋_GB2312" w:hAnsi="仿宋_GB2312" w:eastAsia="仿宋_GB2312" w:cs="仿宋_GB2312"/>
          <w:snapToGrid w:val="0"/>
          <w:color w:val="auto"/>
          <w:spacing w:val="0"/>
          <w:sz w:val="32"/>
          <w:szCs w:val="32"/>
          <w:lang w:val="en-US" w:eastAsia="zh-CN"/>
        </w:rPr>
        <w:t>4</w:t>
      </w:r>
      <w:r>
        <w:rPr>
          <w:rFonts w:hint="default" w:ascii="仿宋_GB2312" w:hAnsi="仿宋_GB2312" w:eastAsia="仿宋_GB2312" w:cs="仿宋_GB2312"/>
          <w:snapToGrid w:val="0"/>
          <w:color w:val="auto"/>
          <w:spacing w:val="0"/>
          <w:sz w:val="32"/>
          <w:szCs w:val="32"/>
          <w:lang w:eastAsia="zh-CN"/>
        </w:rPr>
        <w:t>万吨特种纸造纸技术改造项目</w:t>
      </w:r>
      <w:r>
        <w:rPr>
          <w:rFonts w:hint="default" w:ascii="仿宋_GB2312" w:hAnsi="仿宋_GB2312" w:eastAsia="仿宋_GB2312" w:cs="仿宋_GB2312"/>
          <w:snapToGrid w:val="0"/>
          <w:color w:val="auto"/>
          <w:spacing w:val="0"/>
          <w:sz w:val="32"/>
          <w:szCs w:val="32"/>
        </w:rPr>
        <w:t>环境影响报告书》</w:t>
      </w:r>
      <w:r>
        <w:rPr>
          <w:rFonts w:hint="eastAsia" w:ascii="仿宋_GB2312" w:hAnsi="仿宋_GB2312" w:cs="仿宋_GB2312"/>
          <w:snapToGrid w:val="0"/>
          <w:color w:val="auto"/>
          <w:spacing w:val="0"/>
          <w:sz w:val="32"/>
          <w:szCs w:val="32"/>
          <w:lang w:eastAsia="zh-CN"/>
        </w:rPr>
        <w:t>（以下简称《报告书》）</w:t>
      </w:r>
      <w:r>
        <w:rPr>
          <w:rFonts w:hint="default" w:ascii="仿宋_GB2312" w:hAnsi="仿宋_GB2312" w:eastAsia="仿宋_GB2312" w:cs="仿宋_GB2312"/>
          <w:snapToGrid w:val="0"/>
          <w:color w:val="auto"/>
          <w:spacing w:val="0"/>
          <w:sz w:val="32"/>
          <w:szCs w:val="32"/>
        </w:rPr>
        <w:t>符合国家</w:t>
      </w:r>
      <w:r>
        <w:rPr>
          <w:rFonts w:hint="default" w:ascii="仿宋_GB2312" w:hAnsi="仿宋_GB2312" w:eastAsia="仿宋_GB2312" w:cs="仿宋_GB2312"/>
          <w:snapToGrid w:val="0"/>
          <w:color w:val="auto"/>
          <w:spacing w:val="0"/>
          <w:sz w:val="32"/>
          <w:szCs w:val="32"/>
          <w:lang w:eastAsia="zh-CN"/>
        </w:rPr>
        <w:t>关于</w:t>
      </w:r>
      <w:r>
        <w:rPr>
          <w:rFonts w:hint="default" w:ascii="仿宋_GB2312" w:hAnsi="仿宋_GB2312" w:eastAsia="仿宋_GB2312" w:cs="仿宋_GB2312"/>
          <w:snapToGrid w:val="0"/>
          <w:color w:val="auto"/>
          <w:spacing w:val="0"/>
          <w:sz w:val="32"/>
          <w:szCs w:val="32"/>
        </w:rPr>
        <w:t>建设项目环境影响评价文件审批的有关规定，根据《中华人民共和国行政许可法》第三十八条第一款</w:t>
      </w:r>
      <w:r>
        <w:rPr>
          <w:rFonts w:hint="eastAsia"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rPr>
        <w:t>申请人的申请符合法定条件、标准的，行政机关应当依法作出准予行政许可的书面决定</w:t>
      </w:r>
      <w:r>
        <w:rPr>
          <w:rFonts w:hint="eastAsia"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rPr>
        <w:t>以及《中华人民共和国环境影响评价法》第</w:t>
      </w:r>
      <w:r>
        <w:rPr>
          <w:rFonts w:hint="eastAsia" w:ascii="仿宋_GB2312" w:hAnsi="仿宋_GB2312" w:cs="仿宋_GB2312"/>
          <w:snapToGrid w:val="0"/>
          <w:color w:val="auto"/>
          <w:spacing w:val="0"/>
          <w:sz w:val="32"/>
          <w:szCs w:val="32"/>
          <w:lang w:eastAsia="zh-CN"/>
        </w:rPr>
        <w:t>二</w:t>
      </w:r>
      <w:r>
        <w:rPr>
          <w:rFonts w:hint="default" w:ascii="仿宋_GB2312" w:hAnsi="仿宋_GB2312" w:eastAsia="仿宋_GB2312" w:cs="仿宋_GB2312"/>
          <w:snapToGrid w:val="0"/>
          <w:color w:val="auto"/>
          <w:spacing w:val="0"/>
          <w:sz w:val="32"/>
          <w:szCs w:val="32"/>
        </w:rPr>
        <w:t>十二条规定，我</w:t>
      </w:r>
      <w:r>
        <w:rPr>
          <w:rFonts w:hint="eastAsia" w:ascii="仿宋_GB2312" w:hAnsi="仿宋_GB2312" w:cs="仿宋_GB2312"/>
          <w:snapToGrid w:val="0"/>
          <w:color w:val="auto"/>
          <w:spacing w:val="0"/>
          <w:sz w:val="32"/>
          <w:szCs w:val="32"/>
          <w:lang w:eastAsia="zh-CN"/>
        </w:rPr>
        <w:t>局</w:t>
      </w:r>
      <w:r>
        <w:rPr>
          <w:rFonts w:hint="default" w:ascii="仿宋_GB2312" w:hAnsi="仿宋_GB2312" w:eastAsia="仿宋_GB2312" w:cs="仿宋_GB2312"/>
          <w:snapToGrid w:val="0"/>
          <w:color w:val="auto"/>
          <w:spacing w:val="0"/>
          <w:sz w:val="32"/>
          <w:szCs w:val="32"/>
        </w:rPr>
        <w:t>决定准予行政许可，并要求如下：</w:t>
      </w:r>
    </w:p>
    <w:p>
      <w:pPr>
        <w:pStyle w:val="11"/>
        <w:keepNext w:val="0"/>
        <w:keepLines w:val="0"/>
        <w:pageBreakBefore w:val="0"/>
        <w:widowControl/>
        <w:numPr>
          <w:ilvl w:val="0"/>
          <w:numId w:val="1"/>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eastAsia="zh-CN"/>
        </w:rPr>
      </w:pPr>
      <w:r>
        <w:rPr>
          <w:rFonts w:hint="default" w:ascii="仿宋_GB2312" w:hAnsi="仿宋_GB2312" w:eastAsia="仿宋_GB2312" w:cs="仿宋_GB2312"/>
          <w:snapToGrid w:val="0"/>
          <w:color w:val="auto"/>
          <w:spacing w:val="0"/>
          <w:sz w:val="32"/>
          <w:szCs w:val="32"/>
          <w:lang w:val="en-US" w:eastAsia="zh-CN"/>
        </w:rPr>
        <w:t>湖南省鸿城纸业有限公司</w:t>
      </w:r>
      <w:r>
        <w:rPr>
          <w:rFonts w:hint="eastAsia" w:ascii="仿宋_GB2312" w:hAnsi="仿宋_GB2312" w:cs="仿宋_GB2312"/>
          <w:snapToGrid w:val="0"/>
          <w:color w:val="auto"/>
          <w:spacing w:val="0"/>
          <w:sz w:val="32"/>
          <w:szCs w:val="32"/>
          <w:lang w:val="en-US" w:eastAsia="zh-CN"/>
        </w:rPr>
        <w:t>（以下简称“鸿城纸业”）</w:t>
      </w:r>
      <w:r>
        <w:rPr>
          <w:rFonts w:hint="default" w:ascii="仿宋_GB2312" w:hAnsi="仿宋_GB2312" w:eastAsia="仿宋_GB2312" w:cs="仿宋_GB2312"/>
          <w:snapToGrid w:val="0"/>
          <w:color w:val="auto"/>
          <w:spacing w:val="0"/>
          <w:sz w:val="32"/>
          <w:szCs w:val="32"/>
          <w:lang w:val="en-US" w:eastAsia="zh-CN"/>
        </w:rPr>
        <w:t>位于衡阳市衡山县长江镇新源村（原熬洲村），前身为衡山县特种纸厂，2004年整体企业改制收购后更名，2016年</w:t>
      </w:r>
      <w:r>
        <w:rPr>
          <w:rFonts w:hint="eastAsia" w:ascii="仿宋_GB2312" w:hAnsi="仿宋_GB2312" w:cs="仿宋_GB2312"/>
          <w:snapToGrid w:val="0"/>
          <w:color w:val="auto"/>
          <w:spacing w:val="0"/>
          <w:sz w:val="32"/>
          <w:szCs w:val="32"/>
          <w:lang w:val="en-US" w:eastAsia="zh-CN"/>
        </w:rPr>
        <w:t>鸿城</w:t>
      </w:r>
      <w:r>
        <w:rPr>
          <w:rFonts w:hint="default" w:ascii="仿宋_GB2312" w:hAnsi="仿宋_GB2312" w:eastAsia="仿宋_GB2312" w:cs="仿宋_GB2312"/>
          <w:snapToGrid w:val="0"/>
          <w:color w:val="auto"/>
          <w:spacing w:val="0"/>
          <w:sz w:val="32"/>
          <w:szCs w:val="32"/>
          <w:lang w:val="en-US" w:eastAsia="zh-CN"/>
        </w:rPr>
        <w:t>纸业委托湖南景玺环保科技有限公司编制《湖南省</w:t>
      </w:r>
      <w:r>
        <w:rPr>
          <w:rFonts w:hint="eastAsia" w:ascii="仿宋_GB2312" w:hAnsi="仿宋_GB2312" w:cs="仿宋_GB2312"/>
          <w:snapToGrid w:val="0"/>
          <w:color w:val="auto"/>
          <w:spacing w:val="0"/>
          <w:sz w:val="32"/>
          <w:szCs w:val="32"/>
          <w:lang w:val="en-US" w:eastAsia="zh-CN"/>
        </w:rPr>
        <w:t>鸿城</w:t>
      </w:r>
      <w:r>
        <w:rPr>
          <w:rFonts w:hint="default" w:ascii="仿宋_GB2312" w:hAnsi="仿宋_GB2312" w:eastAsia="仿宋_GB2312" w:cs="仿宋_GB2312"/>
          <w:snapToGrid w:val="0"/>
          <w:color w:val="auto"/>
          <w:spacing w:val="0"/>
          <w:sz w:val="32"/>
          <w:szCs w:val="32"/>
          <w:lang w:val="en-US" w:eastAsia="zh-CN"/>
        </w:rPr>
        <w:t>纸业有限公司年产1.5万吨箱板纸、2.5万吨宗教纸项目环境现状评估报告》，</w:t>
      </w:r>
      <w:r>
        <w:rPr>
          <w:rFonts w:hint="eastAsia" w:ascii="仿宋_GB2312" w:hAnsi="仿宋_GB2312" w:cs="仿宋_GB2312"/>
          <w:snapToGrid w:val="0"/>
          <w:color w:val="auto"/>
          <w:spacing w:val="0"/>
          <w:sz w:val="32"/>
          <w:szCs w:val="32"/>
          <w:lang w:val="en-US" w:eastAsia="zh-CN"/>
        </w:rPr>
        <w:t>该项目由</w:t>
      </w:r>
      <w:r>
        <w:rPr>
          <w:rFonts w:hint="eastAsia" w:ascii="仿宋_GB2312" w:hAnsi="仿宋_GB2312" w:eastAsia="仿宋_GB2312" w:cs="仿宋_GB2312"/>
          <w:snapToGrid w:val="0"/>
          <w:color w:val="auto"/>
          <w:spacing w:val="0"/>
          <w:sz w:val="32"/>
          <w:szCs w:val="32"/>
          <w:lang w:val="en-US" w:eastAsia="zh-CN"/>
        </w:rPr>
        <w:t>衡山县人民政府</w:t>
      </w:r>
      <w:r>
        <w:rPr>
          <w:rFonts w:hint="default" w:ascii="仿宋_GB2312" w:hAnsi="仿宋_GB2312" w:eastAsia="仿宋_GB2312" w:cs="仿宋_GB2312"/>
          <w:snapToGrid w:val="0"/>
          <w:color w:val="auto"/>
          <w:spacing w:val="0"/>
          <w:sz w:val="32"/>
          <w:szCs w:val="32"/>
          <w:lang w:val="en-US" w:eastAsia="zh-CN"/>
        </w:rPr>
        <w:t>完成备案</w:t>
      </w:r>
      <w:r>
        <w:rPr>
          <w:rFonts w:hint="eastAsia" w:ascii="仿宋_GB2312" w:hAnsi="仿宋_GB2312" w:cs="仿宋_GB2312"/>
          <w:snapToGrid w:val="0"/>
          <w:color w:val="auto"/>
          <w:spacing w:val="0"/>
          <w:sz w:val="32"/>
          <w:szCs w:val="32"/>
          <w:lang w:val="en-US" w:eastAsia="zh-CN"/>
        </w:rPr>
        <w:t>，鸿城纸业纳入了《</w:t>
      </w:r>
      <w:r>
        <w:rPr>
          <w:rFonts w:hint="eastAsia" w:ascii="仿宋_GB2312" w:hAnsi="仿宋_GB2312" w:eastAsia="仿宋_GB2312" w:cs="仿宋_GB2312"/>
          <w:snapToGrid w:val="0"/>
          <w:color w:val="auto"/>
          <w:spacing w:val="0"/>
          <w:sz w:val="32"/>
          <w:szCs w:val="32"/>
          <w:lang w:val="en-US" w:eastAsia="zh-CN"/>
        </w:rPr>
        <w:t>衡山县人民政府</w:t>
      </w:r>
      <w:r>
        <w:rPr>
          <w:rFonts w:hint="eastAsia" w:ascii="仿宋_GB2312" w:hAnsi="仿宋_GB2312" w:cs="仿宋_GB2312"/>
          <w:snapToGrid w:val="0"/>
          <w:color w:val="auto"/>
          <w:spacing w:val="0"/>
          <w:sz w:val="32"/>
          <w:szCs w:val="32"/>
          <w:lang w:val="en-US" w:eastAsia="zh-CN"/>
        </w:rPr>
        <w:t>关于同意衡山县衡顺塑料制版有限公司等26个环保违规建设项目纳入环保备案管理的批复》（山政函[2016]84号）名单。</w:t>
      </w:r>
      <w:r>
        <w:rPr>
          <w:rFonts w:hint="eastAsia" w:ascii="仿宋_GB2312" w:hAnsi="仿宋_GB2312" w:eastAsia="仿宋_GB2312" w:cs="仿宋_GB2312"/>
          <w:snapToGrid w:val="0"/>
          <w:color w:val="auto"/>
          <w:spacing w:val="0"/>
          <w:sz w:val="32"/>
          <w:szCs w:val="32"/>
          <w:lang w:val="en-US" w:eastAsia="zh-CN"/>
        </w:rPr>
        <w:t>现</w:t>
      </w:r>
      <w:r>
        <w:rPr>
          <w:rFonts w:hint="default" w:ascii="仿宋_GB2312" w:hAnsi="仿宋_GB2312" w:eastAsia="仿宋_GB2312" w:cs="仿宋_GB2312"/>
          <w:snapToGrid w:val="0"/>
          <w:color w:val="auto"/>
          <w:spacing w:val="0"/>
          <w:sz w:val="32"/>
          <w:szCs w:val="32"/>
          <w:lang w:val="en-US" w:eastAsia="zh-CN"/>
        </w:rPr>
        <w:t>鸿城纸业拟投资4800万元，</w:t>
      </w:r>
      <w:r>
        <w:rPr>
          <w:rFonts w:hint="eastAsia" w:ascii="仿宋_GB2312" w:hAnsi="仿宋_GB2312" w:eastAsia="仿宋_GB2312" w:cs="仿宋_GB2312"/>
          <w:snapToGrid w:val="0"/>
          <w:color w:val="auto"/>
          <w:spacing w:val="0"/>
          <w:sz w:val="32"/>
          <w:szCs w:val="32"/>
          <w:lang w:val="en-US" w:eastAsia="zh-CN"/>
        </w:rPr>
        <w:t>在</w:t>
      </w:r>
      <w:r>
        <w:rPr>
          <w:rFonts w:hint="default" w:ascii="仿宋_GB2312" w:hAnsi="仿宋_GB2312" w:eastAsia="仿宋_GB2312" w:cs="仿宋_GB2312"/>
          <w:snapToGrid w:val="0"/>
          <w:color w:val="auto"/>
          <w:spacing w:val="0"/>
          <w:sz w:val="32"/>
          <w:szCs w:val="32"/>
          <w:lang w:val="en-US" w:eastAsia="zh-CN"/>
        </w:rPr>
        <w:t>衡山县长江镇新源村现有厂区内</w:t>
      </w:r>
      <w:r>
        <w:rPr>
          <w:rFonts w:hint="eastAsia" w:ascii="仿宋_GB2312" w:hAnsi="仿宋_GB2312" w:eastAsia="仿宋_GB2312" w:cs="仿宋_GB2312"/>
          <w:snapToGrid w:val="0"/>
          <w:color w:val="auto"/>
          <w:spacing w:val="0"/>
          <w:sz w:val="32"/>
          <w:szCs w:val="32"/>
          <w:lang w:val="en-US" w:eastAsia="zh-CN"/>
        </w:rPr>
        <w:t>建设年产4万吨特种纸造纸技术改造项目</w:t>
      </w:r>
      <w:r>
        <w:rPr>
          <w:rFonts w:hint="default" w:ascii="仿宋_GB2312" w:hAnsi="仿宋_GB2312" w:eastAsia="仿宋_GB2312" w:cs="仿宋_GB2312"/>
          <w:snapToGrid w:val="0"/>
          <w:color w:val="auto"/>
          <w:spacing w:val="0"/>
          <w:sz w:val="32"/>
          <w:szCs w:val="32"/>
          <w:lang w:val="en-US" w:eastAsia="zh-CN"/>
        </w:rPr>
        <w:t>（以下简称</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本项目</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w:t>
      </w:r>
      <w:r>
        <w:rPr>
          <w:rFonts w:hint="eastAsia" w:ascii="仿宋_GB2312" w:hAnsi="仿宋_GB2312" w:cs="仿宋_GB2312"/>
          <w:snapToGrid w:val="0"/>
          <w:color w:val="auto"/>
          <w:spacing w:val="0"/>
          <w:sz w:val="32"/>
          <w:szCs w:val="32"/>
          <w:lang w:val="en-US" w:eastAsia="zh-CN"/>
        </w:rPr>
        <w:t>，本次技改不新增用地</w:t>
      </w:r>
      <w:r>
        <w:rPr>
          <w:rFonts w:hint="default" w:ascii="仿宋_GB2312" w:hAnsi="仿宋_GB2312" w:eastAsia="仿宋_GB2312" w:cs="仿宋_GB2312"/>
          <w:snapToGrid w:val="0"/>
          <w:color w:val="auto"/>
          <w:spacing w:val="0"/>
          <w:sz w:val="32"/>
          <w:szCs w:val="32"/>
          <w:lang w:val="en-US" w:eastAsia="zh-CN"/>
        </w:rPr>
        <w:t>。主要建设内容包括</w:t>
      </w:r>
      <w:r>
        <w:rPr>
          <w:rFonts w:hint="eastAsia" w:ascii="仿宋_GB2312" w:hAnsi="仿宋_GB2312" w:eastAsia="仿宋_GB2312" w:cs="仿宋_GB2312"/>
          <w:snapToGrid w:val="0"/>
          <w:color w:val="auto"/>
          <w:spacing w:val="0"/>
          <w:sz w:val="32"/>
          <w:szCs w:val="32"/>
          <w:lang w:val="en-US" w:eastAsia="zh-CN"/>
        </w:rPr>
        <w:t>：①淘汰能耗高及纤维流失大的水力碎纸机和圆筛设备，改用新型节能的水力碎纸机；②对原有造纸机机型进行升级；</w:t>
      </w:r>
      <w:r>
        <w:rPr>
          <w:rFonts w:hint="default" w:ascii="仿宋_GB2312" w:hAnsi="仿宋_GB2312" w:eastAsia="仿宋_GB2312" w:cs="仿宋_GB2312"/>
          <w:snapToGrid w:val="0"/>
          <w:color w:val="auto"/>
          <w:spacing w:val="0"/>
          <w:sz w:val="32"/>
          <w:szCs w:val="32"/>
          <w:lang w:val="en-US" w:eastAsia="zh-CN"/>
        </w:rPr>
        <w:t>③对现有污水处理站</w:t>
      </w:r>
      <w:r>
        <w:rPr>
          <w:rFonts w:hint="eastAsia" w:ascii="仿宋_GB2312" w:hAnsi="仿宋_GB2312" w:eastAsia="仿宋_GB2312" w:cs="仿宋_GB2312"/>
          <w:snapToGrid w:val="0"/>
          <w:color w:val="auto"/>
          <w:spacing w:val="0"/>
          <w:sz w:val="32"/>
          <w:szCs w:val="32"/>
          <w:lang w:val="en-US" w:eastAsia="zh-CN"/>
        </w:rPr>
        <w:t>设备及工艺进行</w:t>
      </w:r>
      <w:r>
        <w:rPr>
          <w:rFonts w:hint="default" w:ascii="仿宋_GB2312" w:hAnsi="仿宋_GB2312" w:eastAsia="仿宋_GB2312" w:cs="仿宋_GB2312"/>
          <w:snapToGrid w:val="0"/>
          <w:color w:val="auto"/>
          <w:spacing w:val="0"/>
          <w:sz w:val="32"/>
          <w:szCs w:val="32"/>
          <w:lang w:val="en-US" w:eastAsia="zh-CN"/>
        </w:rPr>
        <w:t>改造</w:t>
      </w:r>
      <w:r>
        <w:rPr>
          <w:rFonts w:hint="eastAsia" w:ascii="仿宋_GB2312" w:hAnsi="仿宋_GB2312" w:eastAsia="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lang w:val="en-US" w:eastAsia="zh-CN"/>
        </w:rPr>
        <w:fldChar w:fldCharType="begin"/>
      </w:r>
      <w:r>
        <w:rPr>
          <w:rFonts w:hint="eastAsia" w:ascii="仿宋_GB2312" w:hAnsi="仿宋_GB2312" w:eastAsia="仿宋_GB2312" w:cs="仿宋_GB2312"/>
          <w:snapToGrid w:val="0"/>
          <w:color w:val="auto"/>
          <w:spacing w:val="0"/>
          <w:sz w:val="32"/>
          <w:szCs w:val="32"/>
          <w:lang w:val="en-US" w:eastAsia="zh-CN"/>
        </w:rPr>
        <w:instrText xml:space="preserve"> = 4 \* GB3 \* MERGEFORMAT </w:instrText>
      </w:r>
      <w:r>
        <w:rPr>
          <w:rFonts w:hint="eastAsia" w:ascii="仿宋_GB2312" w:hAnsi="仿宋_GB2312" w:eastAsia="仿宋_GB2312" w:cs="仿宋_GB2312"/>
          <w:snapToGrid w:val="0"/>
          <w:color w:val="auto"/>
          <w:spacing w:val="0"/>
          <w:sz w:val="32"/>
          <w:szCs w:val="32"/>
          <w:lang w:val="en-US" w:eastAsia="zh-CN"/>
        </w:rPr>
        <w:fldChar w:fldCharType="separate"/>
      </w:r>
      <w:r>
        <w:rPr>
          <w:rFonts w:hint="eastAsia" w:ascii="仿宋_GB2312" w:hAnsi="仿宋_GB2312" w:eastAsia="仿宋_GB2312" w:cs="仿宋_GB2312"/>
          <w:snapToGrid w:val="0"/>
          <w:color w:val="auto"/>
          <w:spacing w:val="0"/>
          <w:sz w:val="32"/>
          <w:szCs w:val="32"/>
          <w:lang w:val="en-US" w:eastAsia="zh-CN"/>
        </w:rPr>
        <w:t>④</w:t>
      </w:r>
      <w:r>
        <w:rPr>
          <w:rFonts w:hint="eastAsia" w:ascii="仿宋_GB2312" w:hAnsi="仿宋_GB2312" w:eastAsia="仿宋_GB2312" w:cs="仿宋_GB2312"/>
          <w:snapToGrid w:val="0"/>
          <w:color w:val="auto"/>
          <w:spacing w:val="0"/>
          <w:sz w:val="32"/>
          <w:szCs w:val="32"/>
          <w:lang w:val="en-US" w:eastAsia="zh-CN"/>
        </w:rPr>
        <w:fldChar w:fldCharType="end"/>
      </w:r>
      <w:r>
        <w:rPr>
          <w:rFonts w:hint="eastAsia" w:ascii="仿宋_GB2312" w:hAnsi="仿宋_GB2312" w:eastAsia="仿宋_GB2312" w:cs="仿宋_GB2312"/>
          <w:snapToGrid w:val="0"/>
          <w:color w:val="auto"/>
          <w:spacing w:val="0"/>
          <w:sz w:val="32"/>
          <w:szCs w:val="32"/>
          <w:lang w:val="en-US" w:eastAsia="zh-CN"/>
        </w:rPr>
        <w:t>强化生产过程及废水处理过程中恶臭防治措施；</w:t>
      </w:r>
      <w:r>
        <w:rPr>
          <w:rFonts w:hint="default" w:ascii="仿宋_GB2312" w:hAnsi="仿宋_GB2312" w:eastAsia="仿宋_GB2312" w:cs="仿宋_GB2312"/>
          <w:snapToGrid w:val="0"/>
          <w:color w:val="auto"/>
          <w:spacing w:val="0"/>
          <w:sz w:val="32"/>
          <w:szCs w:val="32"/>
          <w:lang w:val="en-US" w:eastAsia="zh-CN"/>
        </w:rPr>
        <w:fldChar w:fldCharType="begin"/>
      </w:r>
      <w:r>
        <w:rPr>
          <w:rFonts w:hint="default" w:ascii="仿宋_GB2312" w:hAnsi="仿宋_GB2312" w:eastAsia="仿宋_GB2312" w:cs="仿宋_GB2312"/>
          <w:snapToGrid w:val="0"/>
          <w:color w:val="auto"/>
          <w:spacing w:val="0"/>
          <w:sz w:val="32"/>
          <w:szCs w:val="32"/>
          <w:lang w:val="en-US" w:eastAsia="zh-CN"/>
        </w:rPr>
        <w:instrText xml:space="preserve"> = 5 \* GB3 \* MERGEFORMAT </w:instrText>
      </w:r>
      <w:r>
        <w:rPr>
          <w:rFonts w:hint="default" w:ascii="仿宋_GB2312" w:hAnsi="仿宋_GB2312" w:eastAsia="仿宋_GB2312" w:cs="仿宋_GB2312"/>
          <w:snapToGrid w:val="0"/>
          <w:color w:val="auto"/>
          <w:spacing w:val="0"/>
          <w:sz w:val="32"/>
          <w:szCs w:val="32"/>
          <w:lang w:val="en-US" w:eastAsia="zh-CN"/>
        </w:rPr>
        <w:fldChar w:fldCharType="separate"/>
      </w:r>
      <w:r>
        <w:rPr>
          <w:rFonts w:hint="eastAsia" w:ascii="仿宋_GB2312" w:hAnsi="仿宋_GB2312" w:eastAsia="仿宋_GB2312" w:cs="仿宋_GB2312"/>
          <w:snapToGrid w:val="0"/>
          <w:color w:val="auto"/>
          <w:spacing w:val="0"/>
          <w:sz w:val="32"/>
          <w:szCs w:val="32"/>
          <w:lang w:val="en-US" w:eastAsia="zh-CN"/>
        </w:rPr>
        <w:t>⑤</w:t>
      </w:r>
      <w:r>
        <w:rPr>
          <w:rFonts w:hint="default" w:ascii="仿宋_GB2312" w:hAnsi="仿宋_GB2312" w:eastAsia="仿宋_GB2312" w:cs="仿宋_GB2312"/>
          <w:snapToGrid w:val="0"/>
          <w:color w:val="auto"/>
          <w:spacing w:val="0"/>
          <w:sz w:val="32"/>
          <w:szCs w:val="32"/>
          <w:lang w:val="en-US" w:eastAsia="zh-CN"/>
        </w:rPr>
        <w:fldChar w:fldCharType="end"/>
      </w:r>
      <w:r>
        <w:rPr>
          <w:rFonts w:hint="eastAsia" w:ascii="仿宋_GB2312" w:hAnsi="仿宋_GB2312" w:eastAsia="仿宋_GB2312" w:cs="仿宋_GB2312"/>
          <w:snapToGrid w:val="0"/>
          <w:color w:val="auto"/>
          <w:spacing w:val="0"/>
          <w:sz w:val="32"/>
          <w:szCs w:val="32"/>
          <w:lang w:val="en-US" w:eastAsia="zh-CN"/>
        </w:rPr>
        <w:t>完善厂区雨污分流措施。技改后，</w:t>
      </w:r>
      <w:r>
        <w:rPr>
          <w:rFonts w:hint="eastAsia" w:ascii="仿宋_GB2312" w:hAnsi="仿宋_GB2312" w:cs="仿宋_GB2312"/>
          <w:snapToGrid w:val="0"/>
          <w:color w:val="auto"/>
          <w:spacing w:val="0"/>
          <w:sz w:val="32"/>
          <w:szCs w:val="32"/>
          <w:lang w:val="en-US" w:eastAsia="zh-CN"/>
        </w:rPr>
        <w:t>年产2.5万吨宗教纸，将现有的</w:t>
      </w:r>
      <w:r>
        <w:rPr>
          <w:rFonts w:hint="default" w:ascii="仿宋_GB2312" w:hAnsi="仿宋_GB2312" w:eastAsia="仿宋_GB2312" w:cs="仿宋_GB2312"/>
          <w:snapToGrid w:val="0"/>
          <w:color w:val="auto"/>
          <w:spacing w:val="0"/>
          <w:sz w:val="32"/>
          <w:szCs w:val="32"/>
          <w:lang w:val="en-US" w:eastAsia="zh-CN"/>
        </w:rPr>
        <w:t>年产1.5万吨箱板纸</w:t>
      </w:r>
      <w:r>
        <w:rPr>
          <w:rFonts w:hint="eastAsia" w:ascii="仿宋_GB2312" w:hAnsi="仿宋_GB2312" w:eastAsia="仿宋_GB2312" w:cs="仿宋_GB2312"/>
          <w:snapToGrid w:val="0"/>
          <w:color w:val="auto"/>
          <w:spacing w:val="0"/>
          <w:sz w:val="32"/>
          <w:szCs w:val="32"/>
          <w:lang w:val="en-US" w:eastAsia="zh-CN"/>
        </w:rPr>
        <w:t>变更为</w:t>
      </w:r>
      <w:r>
        <w:rPr>
          <w:rFonts w:hint="default" w:ascii="仿宋_GB2312" w:hAnsi="仿宋_GB2312" w:eastAsia="仿宋_GB2312" w:cs="仿宋_GB2312"/>
          <w:snapToGrid w:val="0"/>
          <w:color w:val="auto"/>
          <w:spacing w:val="0"/>
          <w:sz w:val="32"/>
          <w:szCs w:val="32"/>
          <w:lang w:val="en-US" w:eastAsia="zh-CN"/>
        </w:rPr>
        <w:t>年产</w:t>
      </w:r>
      <w:r>
        <w:rPr>
          <w:rFonts w:hint="eastAsia" w:ascii="仿宋_GB2312" w:hAnsi="仿宋_GB2312" w:eastAsia="仿宋_GB2312" w:cs="仿宋_GB2312"/>
          <w:snapToGrid w:val="0"/>
          <w:color w:val="auto"/>
          <w:spacing w:val="0"/>
          <w:sz w:val="32"/>
          <w:szCs w:val="32"/>
          <w:lang w:val="en-US" w:eastAsia="zh-CN"/>
        </w:rPr>
        <w:t>1.5</w:t>
      </w:r>
      <w:r>
        <w:rPr>
          <w:rFonts w:hint="default" w:ascii="仿宋_GB2312" w:hAnsi="仿宋_GB2312" w:eastAsia="仿宋_GB2312" w:cs="仿宋_GB2312"/>
          <w:snapToGrid w:val="0"/>
          <w:color w:val="auto"/>
          <w:spacing w:val="0"/>
          <w:sz w:val="32"/>
          <w:szCs w:val="32"/>
          <w:lang w:val="en-US" w:eastAsia="zh-CN"/>
        </w:rPr>
        <w:t>万吨</w:t>
      </w:r>
      <w:r>
        <w:rPr>
          <w:rFonts w:hint="eastAsia" w:ascii="仿宋_GB2312" w:hAnsi="仿宋_GB2312" w:eastAsia="仿宋_GB2312" w:cs="仿宋_GB2312"/>
          <w:snapToGrid w:val="0"/>
          <w:color w:val="auto"/>
          <w:spacing w:val="0"/>
          <w:sz w:val="32"/>
          <w:szCs w:val="32"/>
          <w:lang w:val="en-US" w:eastAsia="zh-CN"/>
        </w:rPr>
        <w:t>烟花纸</w:t>
      </w:r>
      <w:r>
        <w:rPr>
          <w:rFonts w:hint="eastAsia" w:ascii="仿宋_GB2312" w:hAnsi="仿宋_GB2312" w:cs="仿宋_GB2312"/>
          <w:snapToGrid w:val="0"/>
          <w:color w:val="auto"/>
          <w:spacing w:val="0"/>
          <w:sz w:val="32"/>
          <w:szCs w:val="32"/>
          <w:lang w:val="en-US" w:eastAsia="zh-CN"/>
        </w:rPr>
        <w:t>（不生产烟花外层包装纸）。</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eastAsia="zh-CN"/>
        </w:rPr>
      </w:pPr>
      <w:r>
        <w:rPr>
          <w:rFonts w:hint="eastAsia" w:ascii="仿宋_GB2312" w:hAnsi="仿宋_GB2312" w:eastAsia="仿宋_GB2312" w:cs="仿宋_GB2312"/>
          <w:snapToGrid w:val="0"/>
          <w:color w:val="auto"/>
          <w:spacing w:val="0"/>
          <w:sz w:val="32"/>
          <w:szCs w:val="32"/>
        </w:rPr>
        <w:t>根据</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的分析结论和衡阳市环境保护科学研究所</w:t>
      </w:r>
      <w:r>
        <w:rPr>
          <w:rFonts w:hint="eastAsia" w:ascii="仿宋_GB2312" w:hAnsi="仿宋_GB2312" w:eastAsia="仿宋_GB2312" w:cs="仿宋_GB2312"/>
          <w:snapToGrid w:val="0"/>
          <w:color w:val="auto"/>
          <w:spacing w:val="0"/>
          <w:sz w:val="32"/>
          <w:szCs w:val="32"/>
          <w:lang w:eastAsia="zh-CN"/>
        </w:rPr>
        <w:t>评估报告结论、</w:t>
      </w:r>
      <w:r>
        <w:rPr>
          <w:rFonts w:hint="eastAsia" w:ascii="仿宋_GB2312" w:hAnsi="仿宋_GB2312" w:eastAsia="仿宋_GB2312" w:cs="仿宋_GB2312"/>
          <w:snapToGrid w:val="0"/>
          <w:color w:val="auto"/>
          <w:spacing w:val="0"/>
          <w:sz w:val="32"/>
          <w:szCs w:val="32"/>
        </w:rPr>
        <w:t>衡阳市生态环境局衡</w:t>
      </w:r>
      <w:r>
        <w:rPr>
          <w:rFonts w:hint="eastAsia" w:ascii="仿宋_GB2312" w:hAnsi="仿宋_GB2312" w:cs="仿宋_GB2312"/>
          <w:snapToGrid w:val="0"/>
          <w:color w:val="auto"/>
          <w:spacing w:val="0"/>
          <w:sz w:val="32"/>
          <w:szCs w:val="32"/>
          <w:lang w:eastAsia="zh-CN"/>
        </w:rPr>
        <w:t>山</w:t>
      </w:r>
      <w:r>
        <w:rPr>
          <w:rFonts w:hint="eastAsia" w:ascii="仿宋_GB2312" w:hAnsi="仿宋_GB2312" w:eastAsia="仿宋_GB2312" w:cs="仿宋_GB2312"/>
          <w:snapToGrid w:val="0"/>
          <w:color w:val="auto"/>
          <w:spacing w:val="0"/>
          <w:sz w:val="32"/>
          <w:szCs w:val="32"/>
        </w:rPr>
        <w:t>分局的预审意见，</w:t>
      </w:r>
      <w:r>
        <w:rPr>
          <w:rFonts w:hint="eastAsia" w:ascii="仿宋_GB2312" w:hAnsi="仿宋_GB2312" w:eastAsia="仿宋_GB2312" w:cs="仿宋_GB2312"/>
          <w:snapToGrid w:val="0"/>
          <w:color w:val="auto"/>
          <w:spacing w:val="0"/>
          <w:sz w:val="32"/>
          <w:szCs w:val="32"/>
          <w:lang w:eastAsia="zh-CN"/>
        </w:rPr>
        <w:t>在建设单位按照《报告书》中所列性质、规模、地点、生产工艺进行建设、运营，严格落实《报告书》和本批复提出的各项生态环境保护措施和污染防治措施，并确保各类污染物稳定达标排放符合总量控制的前提下，本项目对环境的不利影响能够得到一定缓解和控制。我局原则同意该项目环境影响报告书的总体评价结论和拟采取的生态环境保护措施。</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eastAsia="zh-CN"/>
        </w:rPr>
        <w:t>二</w:t>
      </w:r>
      <w:r>
        <w:rPr>
          <w:rFonts w:hint="default" w:ascii="仿宋_GB2312" w:hAnsi="仿宋_GB2312" w:eastAsia="仿宋_GB2312" w:cs="仿宋_GB2312"/>
          <w:snapToGrid w:val="0"/>
          <w:color w:val="auto"/>
          <w:spacing w:val="0"/>
          <w:sz w:val="32"/>
          <w:szCs w:val="32"/>
        </w:rPr>
        <w:t>、</w:t>
      </w:r>
      <w:r>
        <w:rPr>
          <w:rFonts w:hint="default" w:ascii="仿宋_GB2312" w:hAnsi="仿宋_GB2312" w:eastAsia="仿宋_GB2312" w:cs="仿宋_GB2312"/>
          <w:snapToGrid w:val="0"/>
          <w:color w:val="auto"/>
          <w:spacing w:val="0"/>
          <w:sz w:val="32"/>
          <w:szCs w:val="32"/>
          <w:lang w:val="en-US" w:eastAsia="zh-CN"/>
        </w:rPr>
        <w:t>建设单位在工程设计、建设和运营管理过程中，必须全面落实《报告书》提出的各项污染防治措施并着重做好如下工作：</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（一）全面落实“以新带老”措施。根据雨污分流原则对各排水处进行排查，规范排水系统，完善雨污分流系统；加快水循环</w:t>
      </w:r>
      <w:r>
        <w:rPr>
          <w:rFonts w:hint="eastAsia" w:ascii="仿宋_GB2312" w:hAnsi="仿宋_GB2312" w:cs="仿宋_GB2312"/>
          <w:snapToGrid w:val="0"/>
          <w:color w:val="auto"/>
          <w:spacing w:val="0"/>
          <w:sz w:val="32"/>
          <w:szCs w:val="32"/>
          <w:lang w:val="en-US" w:eastAsia="zh-CN"/>
        </w:rPr>
        <w:t>并</w:t>
      </w:r>
      <w:r>
        <w:rPr>
          <w:rFonts w:hint="eastAsia" w:ascii="仿宋_GB2312" w:hAnsi="仿宋_GB2312" w:eastAsia="仿宋_GB2312" w:cs="仿宋_GB2312"/>
          <w:snapToGrid w:val="0"/>
          <w:color w:val="auto"/>
          <w:spacing w:val="0"/>
          <w:sz w:val="32"/>
          <w:szCs w:val="32"/>
          <w:lang w:val="en-US" w:eastAsia="zh-CN"/>
        </w:rPr>
        <w:t>增加换水频次，停机时白水及时排入污水处理站处理；污水处理站初沉池、好氧池及制浆工序加盖密闭，加强污水处理站周边绿化，定期添加除臭剂减少臭气排放；按照《危险废物贮存污染控制标准》（GB18597-2023）中相关规范要求对现有危废暂存间进行改造；加强日常环境管理，制定环保设施管理</w:t>
      </w:r>
      <w:r>
        <w:rPr>
          <w:rFonts w:hint="eastAsia" w:ascii="仿宋_GB2312" w:hAnsi="仿宋_GB2312" w:cs="仿宋_GB2312"/>
          <w:snapToGrid w:val="0"/>
          <w:color w:val="auto"/>
          <w:spacing w:val="0"/>
          <w:sz w:val="32"/>
          <w:szCs w:val="32"/>
          <w:lang w:val="en-US" w:eastAsia="zh-CN"/>
        </w:rPr>
        <w:t>制度</w:t>
      </w:r>
      <w:r>
        <w:rPr>
          <w:rFonts w:hint="eastAsia" w:ascii="仿宋_GB2312" w:hAnsi="仿宋_GB2312" w:eastAsia="仿宋_GB2312" w:cs="仿宋_GB2312"/>
          <w:snapToGrid w:val="0"/>
          <w:color w:val="auto"/>
          <w:spacing w:val="0"/>
          <w:sz w:val="32"/>
          <w:szCs w:val="32"/>
          <w:lang w:val="en-US" w:eastAsia="zh-CN"/>
        </w:rPr>
        <w:t>，建立运行台账，</w:t>
      </w:r>
      <w:r>
        <w:rPr>
          <w:rFonts w:hint="eastAsia" w:ascii="仿宋_GB2312" w:hAnsi="仿宋_GB2312" w:cs="仿宋_GB2312"/>
          <w:snapToGrid w:val="0"/>
          <w:color w:val="auto"/>
          <w:spacing w:val="0"/>
          <w:sz w:val="32"/>
          <w:szCs w:val="32"/>
          <w:lang w:val="en-US" w:eastAsia="zh-CN"/>
        </w:rPr>
        <w:t>严格</w:t>
      </w:r>
      <w:r>
        <w:rPr>
          <w:rFonts w:hint="eastAsia" w:ascii="仿宋_GB2312" w:hAnsi="仿宋_GB2312" w:eastAsia="仿宋_GB2312" w:cs="仿宋_GB2312"/>
          <w:snapToGrid w:val="0"/>
          <w:color w:val="auto"/>
          <w:spacing w:val="0"/>
          <w:sz w:val="32"/>
          <w:szCs w:val="32"/>
          <w:lang w:val="en-US" w:eastAsia="zh-CN"/>
        </w:rPr>
        <w:t>落实各项环保措施、环保制度要求，保持各车间</w:t>
      </w:r>
      <w:r>
        <w:rPr>
          <w:rFonts w:hint="eastAsia" w:ascii="仿宋_GB2312" w:hAnsi="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lang w:val="en-US" w:eastAsia="zh-CN"/>
        </w:rPr>
        <w:t>场所整洁卫生</w:t>
      </w:r>
      <w:r>
        <w:rPr>
          <w:rFonts w:hint="eastAsia" w:ascii="仿宋_GB2312" w:hAnsi="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lang w:val="en-US" w:eastAsia="zh-CN"/>
        </w:rPr>
        <w:t>按要求推进在用生物质锅炉治理设施提标改造工作</w:t>
      </w:r>
      <w:r>
        <w:rPr>
          <w:rFonts w:hint="eastAsia" w:ascii="仿宋_GB2312" w:hAnsi="仿宋_GB2312" w:cs="仿宋_GB2312"/>
          <w:snapToGrid w:val="0"/>
          <w:color w:val="auto"/>
          <w:spacing w:val="0"/>
          <w:sz w:val="32"/>
          <w:szCs w:val="32"/>
          <w:lang w:val="en-US" w:eastAsia="zh-CN"/>
        </w:rPr>
        <w:t>。</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rPr>
      </w:pPr>
      <w:r>
        <w:rPr>
          <w:rFonts w:hint="default" w:ascii="仿宋_GB2312" w:hAnsi="仿宋_GB2312" w:eastAsia="仿宋_GB2312" w:cs="仿宋_GB2312"/>
          <w:snapToGrid w:val="0"/>
          <w:color w:val="auto"/>
          <w:spacing w:val="0"/>
          <w:sz w:val="32"/>
          <w:szCs w:val="32"/>
        </w:rPr>
        <w:t>（</w:t>
      </w:r>
      <w:r>
        <w:rPr>
          <w:rFonts w:hint="eastAsia" w:ascii="仿宋_GB2312" w:hAnsi="仿宋_GB2312" w:cs="仿宋_GB2312"/>
          <w:snapToGrid w:val="0"/>
          <w:color w:val="auto"/>
          <w:spacing w:val="0"/>
          <w:sz w:val="32"/>
          <w:szCs w:val="32"/>
          <w:lang w:eastAsia="zh-CN"/>
        </w:rPr>
        <w:t>二</w:t>
      </w:r>
      <w:r>
        <w:rPr>
          <w:rFonts w:hint="default" w:ascii="仿宋_GB2312" w:hAnsi="仿宋_GB2312" w:eastAsia="仿宋_GB2312" w:cs="仿宋_GB2312"/>
          <w:snapToGrid w:val="0"/>
          <w:color w:val="auto"/>
          <w:spacing w:val="0"/>
          <w:sz w:val="32"/>
          <w:szCs w:val="32"/>
        </w:rPr>
        <w:t>）</w:t>
      </w:r>
      <w:r>
        <w:rPr>
          <w:rFonts w:hint="eastAsia" w:ascii="仿宋_GB2312" w:hAnsi="仿宋_GB2312" w:eastAsia="仿宋_GB2312" w:cs="仿宋_GB2312"/>
          <w:snapToGrid w:val="0"/>
          <w:color w:val="auto"/>
          <w:spacing w:val="0"/>
          <w:sz w:val="32"/>
          <w:szCs w:val="32"/>
          <w:lang w:val="en-US" w:eastAsia="zh-CN"/>
        </w:rPr>
        <w:t>切实做好施工期环境保护工作</w:t>
      </w:r>
      <w:r>
        <w:rPr>
          <w:rFonts w:hint="default" w:ascii="仿宋_GB2312" w:hAnsi="仿宋_GB2312" w:eastAsia="仿宋_GB2312" w:cs="仿宋_GB2312"/>
          <w:snapToGrid w:val="0"/>
          <w:color w:val="auto"/>
          <w:spacing w:val="0"/>
          <w:sz w:val="32"/>
          <w:szCs w:val="32"/>
        </w:rPr>
        <w:t>。落实施工期间各项污染防治措施，减小施工期间施工噪声、废气、废水及固体废物等对周边环境产生的不利影响。</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val="en-US" w:eastAsia="zh-CN"/>
        </w:rPr>
        <w:t>（</w:t>
      </w:r>
      <w:r>
        <w:rPr>
          <w:rFonts w:hint="eastAsia" w:ascii="仿宋_GB2312" w:hAnsi="仿宋_GB2312" w:cs="仿宋_GB2312"/>
          <w:snapToGrid w:val="0"/>
          <w:color w:val="auto"/>
          <w:spacing w:val="0"/>
          <w:sz w:val="32"/>
          <w:szCs w:val="32"/>
          <w:lang w:val="en-US" w:eastAsia="zh-CN"/>
        </w:rPr>
        <w:t>三</w:t>
      </w:r>
      <w:r>
        <w:rPr>
          <w:rFonts w:hint="default"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rPr>
        <w:t>严格落实各项大气污染防治措施</w:t>
      </w:r>
      <w:r>
        <w:rPr>
          <w:rFonts w:hint="eastAsia" w:ascii="仿宋_GB2312" w:hAnsi="仿宋_GB2312" w:cs="仿宋_GB2312"/>
          <w:snapToGrid w:val="0"/>
          <w:color w:val="auto"/>
          <w:spacing w:val="0"/>
          <w:sz w:val="32"/>
          <w:szCs w:val="32"/>
          <w:lang w:eastAsia="zh-CN"/>
        </w:rPr>
        <w:t>。</w:t>
      </w:r>
      <w:r>
        <w:rPr>
          <w:rFonts w:hint="eastAsia" w:ascii="仿宋_GB2312" w:hAnsi="仿宋_GB2312" w:cs="仿宋_GB2312"/>
          <w:snapToGrid w:val="0"/>
          <w:color w:val="auto"/>
          <w:spacing w:val="0"/>
          <w:sz w:val="32"/>
          <w:szCs w:val="32"/>
          <w:lang w:val="en-US" w:eastAsia="zh-CN"/>
        </w:rPr>
        <w:t>本项目</w:t>
      </w:r>
      <w:r>
        <w:rPr>
          <w:rFonts w:hint="default" w:ascii="仿宋_GB2312" w:hAnsi="仿宋_GB2312" w:eastAsia="仿宋_GB2312" w:cs="仿宋_GB2312"/>
          <w:snapToGrid w:val="0"/>
          <w:color w:val="auto"/>
          <w:spacing w:val="0"/>
          <w:sz w:val="32"/>
          <w:szCs w:val="32"/>
          <w:lang w:val="en-US" w:eastAsia="zh-CN"/>
        </w:rPr>
        <w:t>锅炉采用成型生物质燃料，</w:t>
      </w:r>
      <w:r>
        <w:rPr>
          <w:rFonts w:hint="default" w:ascii="仿宋_GB2312" w:hAnsi="仿宋_GB2312" w:eastAsia="仿宋_GB2312" w:cs="仿宋_GB2312"/>
          <w:snapToGrid w:val="0"/>
          <w:color w:val="auto"/>
          <w:spacing w:val="0"/>
          <w:sz w:val="32"/>
          <w:szCs w:val="32"/>
          <w:shd w:val="clear" w:color="auto" w:fill="auto"/>
          <w:lang w:val="en-US" w:eastAsia="zh-CN"/>
        </w:rPr>
        <w:t>锅炉烟气经XTD型高效陶瓷多管除尘器+布袋除尘器处理</w:t>
      </w:r>
      <w:r>
        <w:rPr>
          <w:rFonts w:hint="eastAsia" w:ascii="仿宋_GB2312" w:hAnsi="仿宋_GB2312" w:cs="仿宋_GB2312"/>
          <w:snapToGrid w:val="0"/>
          <w:color w:val="auto"/>
          <w:spacing w:val="0"/>
          <w:sz w:val="32"/>
          <w:szCs w:val="32"/>
          <w:lang w:val="en-US" w:eastAsia="zh-CN"/>
        </w:rPr>
        <w:t>达到《锅炉大气污染物排放标准》（GB13271-2014）表2中燃煤锅炉标准限值后通过</w:t>
      </w:r>
      <w:r>
        <w:rPr>
          <w:rFonts w:hint="default" w:ascii="仿宋_GB2312" w:hAnsi="仿宋_GB2312" w:eastAsia="仿宋_GB2312" w:cs="仿宋_GB2312"/>
          <w:snapToGrid w:val="0"/>
          <w:color w:val="auto"/>
          <w:spacing w:val="0"/>
          <w:sz w:val="32"/>
          <w:szCs w:val="32"/>
          <w:lang w:val="en-US" w:eastAsia="zh-CN"/>
        </w:rPr>
        <w:t>50m</w:t>
      </w:r>
      <w:r>
        <w:rPr>
          <w:rFonts w:hint="eastAsia" w:ascii="仿宋_GB2312" w:hAnsi="仿宋_GB2312" w:cs="仿宋_GB2312"/>
          <w:snapToGrid w:val="0"/>
          <w:color w:val="auto"/>
          <w:spacing w:val="0"/>
          <w:sz w:val="32"/>
          <w:szCs w:val="32"/>
          <w:lang w:val="en-US" w:eastAsia="zh-CN"/>
        </w:rPr>
        <w:t>高排气筒</w:t>
      </w:r>
      <w:r>
        <w:rPr>
          <w:rFonts w:hint="default" w:ascii="仿宋_GB2312" w:hAnsi="仿宋_GB2312" w:eastAsia="仿宋_GB2312" w:cs="仿宋_GB2312"/>
          <w:snapToGrid w:val="0"/>
          <w:color w:val="auto"/>
          <w:spacing w:val="0"/>
          <w:sz w:val="32"/>
          <w:szCs w:val="32"/>
          <w:lang w:val="en-US" w:eastAsia="zh-CN"/>
        </w:rPr>
        <w:t>排放</w:t>
      </w:r>
      <w:r>
        <w:rPr>
          <w:rFonts w:hint="eastAsia" w:ascii="仿宋_GB2312" w:hAnsi="仿宋_GB2312" w:cs="仿宋_GB2312"/>
          <w:snapToGrid w:val="0"/>
          <w:color w:val="auto"/>
          <w:spacing w:val="0"/>
          <w:sz w:val="32"/>
          <w:szCs w:val="32"/>
          <w:lang w:val="en-US" w:eastAsia="zh-CN"/>
        </w:rPr>
        <w:t>，应确保在线监测设施正常运行并联网；</w:t>
      </w:r>
      <w:r>
        <w:rPr>
          <w:rFonts w:hint="default" w:ascii="仿宋_GB2312" w:hAnsi="仿宋_GB2312" w:eastAsia="仿宋_GB2312" w:cs="仿宋_GB2312"/>
          <w:snapToGrid w:val="0"/>
          <w:color w:val="auto"/>
          <w:spacing w:val="0"/>
          <w:sz w:val="32"/>
          <w:szCs w:val="32"/>
          <w:lang w:val="en-US" w:eastAsia="zh-CN"/>
        </w:rPr>
        <w:t>加强</w:t>
      </w:r>
      <w:r>
        <w:rPr>
          <w:rFonts w:hint="eastAsia" w:ascii="仿宋_GB2312" w:hAnsi="仿宋_GB2312" w:cs="仿宋_GB2312"/>
          <w:snapToGrid w:val="0"/>
          <w:color w:val="auto"/>
          <w:spacing w:val="0"/>
          <w:sz w:val="32"/>
          <w:szCs w:val="32"/>
          <w:lang w:val="en-US" w:eastAsia="zh-CN"/>
        </w:rPr>
        <w:t>污水处理站</w:t>
      </w:r>
      <w:r>
        <w:rPr>
          <w:rFonts w:hint="default" w:ascii="仿宋_GB2312" w:hAnsi="仿宋_GB2312" w:eastAsia="仿宋_GB2312" w:cs="仿宋_GB2312"/>
          <w:snapToGrid w:val="0"/>
          <w:color w:val="auto"/>
          <w:spacing w:val="0"/>
          <w:sz w:val="32"/>
          <w:szCs w:val="32"/>
          <w:lang w:val="en-US" w:eastAsia="zh-CN"/>
        </w:rPr>
        <w:t>无组织废气污染防治</w:t>
      </w:r>
      <w:r>
        <w:rPr>
          <w:rFonts w:hint="eastAsia" w:ascii="仿宋_GB2312" w:hAnsi="仿宋_GB2312" w:cs="仿宋_GB2312"/>
          <w:snapToGrid w:val="0"/>
          <w:color w:val="auto"/>
          <w:spacing w:val="0"/>
          <w:sz w:val="32"/>
          <w:szCs w:val="32"/>
          <w:lang w:val="en-US" w:eastAsia="zh-CN"/>
        </w:rPr>
        <w:t>措施，减少污泥在浓缩池的停留时间，并及时对污泥进行处置，加强车间通风，减少原料废纸分拣过程中无组织粉尘产生量，项目厂界臭气浓度、</w:t>
      </w:r>
      <w:r>
        <w:rPr>
          <w:rFonts w:hint="default" w:ascii="仿宋_GB2312" w:hAnsi="仿宋_GB2312" w:cs="仿宋_GB2312"/>
          <w:snapToGrid w:val="0"/>
          <w:color w:val="auto"/>
          <w:spacing w:val="0"/>
          <w:sz w:val="32"/>
          <w:szCs w:val="32"/>
          <w:lang w:val="en-US" w:eastAsia="zh-CN"/>
        </w:rPr>
        <w:t>NH</w:t>
      </w:r>
      <w:r>
        <w:rPr>
          <w:rFonts w:hint="default" w:ascii="仿宋_GB2312" w:hAnsi="仿宋_GB2312" w:cs="仿宋_GB2312"/>
          <w:snapToGrid w:val="0"/>
          <w:color w:val="auto"/>
          <w:spacing w:val="0"/>
          <w:sz w:val="32"/>
          <w:szCs w:val="32"/>
          <w:vertAlign w:val="subscript"/>
          <w:lang w:val="en-US" w:eastAsia="zh-CN"/>
        </w:rPr>
        <w:t>3</w:t>
      </w:r>
      <w:r>
        <w:rPr>
          <w:rFonts w:hint="eastAsia" w:ascii="仿宋_GB2312" w:hAnsi="仿宋_GB2312" w:cs="仿宋_GB2312"/>
          <w:snapToGrid w:val="0"/>
          <w:color w:val="auto"/>
          <w:spacing w:val="0"/>
          <w:sz w:val="32"/>
          <w:szCs w:val="32"/>
          <w:lang w:val="en-US" w:eastAsia="zh-CN"/>
        </w:rPr>
        <w:t>、</w:t>
      </w:r>
      <w:r>
        <w:rPr>
          <w:rFonts w:hint="default" w:ascii="仿宋_GB2312" w:hAnsi="仿宋_GB2312" w:cs="仿宋_GB2312"/>
          <w:snapToGrid w:val="0"/>
          <w:color w:val="auto"/>
          <w:spacing w:val="0"/>
          <w:sz w:val="32"/>
          <w:szCs w:val="32"/>
          <w:lang w:val="en-US" w:eastAsia="zh-CN"/>
        </w:rPr>
        <w:t>H</w:t>
      </w:r>
      <w:r>
        <w:rPr>
          <w:rFonts w:hint="default" w:ascii="仿宋_GB2312" w:hAnsi="仿宋_GB2312" w:cs="仿宋_GB2312"/>
          <w:snapToGrid w:val="0"/>
          <w:color w:val="auto"/>
          <w:spacing w:val="0"/>
          <w:sz w:val="32"/>
          <w:szCs w:val="32"/>
          <w:vertAlign w:val="subscript"/>
          <w:lang w:val="en-US" w:eastAsia="zh-CN"/>
        </w:rPr>
        <w:t>2</w:t>
      </w:r>
      <w:r>
        <w:rPr>
          <w:rFonts w:hint="default" w:ascii="仿宋_GB2312" w:hAnsi="仿宋_GB2312" w:cs="仿宋_GB2312"/>
          <w:snapToGrid w:val="0"/>
          <w:color w:val="auto"/>
          <w:spacing w:val="0"/>
          <w:sz w:val="32"/>
          <w:szCs w:val="32"/>
          <w:lang w:val="en-US" w:eastAsia="zh-CN"/>
        </w:rPr>
        <w:t>S</w:t>
      </w:r>
      <w:r>
        <w:rPr>
          <w:rFonts w:hint="eastAsia" w:ascii="仿宋_GB2312" w:hAnsi="仿宋_GB2312" w:cs="仿宋_GB2312"/>
          <w:snapToGrid w:val="0"/>
          <w:color w:val="auto"/>
          <w:spacing w:val="0"/>
          <w:sz w:val="32"/>
          <w:szCs w:val="32"/>
          <w:lang w:val="en-US" w:eastAsia="zh-CN"/>
        </w:rPr>
        <w:t>应满足</w:t>
      </w:r>
      <w:r>
        <w:rPr>
          <w:rFonts w:hint="default" w:ascii="仿宋_GB2312" w:hAnsi="仿宋_GB2312" w:eastAsia="仿宋_GB2312" w:cs="仿宋_GB2312"/>
          <w:snapToGrid w:val="0"/>
          <w:color w:val="auto"/>
          <w:spacing w:val="0"/>
          <w:sz w:val="32"/>
          <w:szCs w:val="32"/>
          <w:lang w:val="en-US" w:eastAsia="zh-CN"/>
        </w:rPr>
        <w:t>《恶臭污染物排放标准》（GB14554-93）表1中的二级标准</w:t>
      </w:r>
      <w:r>
        <w:rPr>
          <w:rFonts w:hint="eastAsia" w:ascii="仿宋_GB2312" w:hAnsi="仿宋_GB2312" w:cs="仿宋_GB2312"/>
          <w:snapToGrid w:val="0"/>
          <w:color w:val="auto"/>
          <w:spacing w:val="0"/>
          <w:sz w:val="32"/>
          <w:szCs w:val="32"/>
          <w:lang w:val="en-US" w:eastAsia="zh-CN"/>
        </w:rPr>
        <w:t>，颗粒物应满足《大气污染物综合排放标准》（GB16297-1996）表2排放限值；食堂油烟废气经油烟净化器处理后满足</w:t>
      </w:r>
      <w:r>
        <w:rPr>
          <w:rFonts w:hint="default" w:ascii="仿宋_GB2312" w:hAnsi="仿宋_GB2312" w:cs="仿宋_GB2312"/>
          <w:snapToGrid w:val="0"/>
          <w:color w:val="auto"/>
          <w:spacing w:val="0"/>
          <w:sz w:val="32"/>
          <w:szCs w:val="32"/>
          <w:lang w:val="en-US" w:eastAsia="zh-CN"/>
        </w:rPr>
        <w:t>《饮食业油烟排放标准（试行）》（GB18483-2001）</w:t>
      </w:r>
      <w:r>
        <w:rPr>
          <w:rFonts w:hint="eastAsia" w:ascii="仿宋_GB2312" w:hAnsi="仿宋_GB2312" w:cs="仿宋_GB2312"/>
          <w:snapToGrid w:val="0"/>
          <w:color w:val="auto"/>
          <w:spacing w:val="0"/>
          <w:sz w:val="32"/>
          <w:szCs w:val="32"/>
          <w:lang w:val="en-US" w:eastAsia="zh-CN"/>
        </w:rPr>
        <w:t>排放。</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cs="仿宋_GB2312"/>
          <w:snapToGrid w:val="0"/>
          <w:color w:val="auto"/>
          <w:spacing w:val="0"/>
          <w:sz w:val="32"/>
          <w:szCs w:val="32"/>
          <w:lang w:val="en-US" w:eastAsia="zh-CN"/>
        </w:rPr>
        <w:t>（四）</w:t>
      </w:r>
      <w:r>
        <w:rPr>
          <w:rFonts w:hint="eastAsia" w:ascii="仿宋_GB2312" w:hAnsi="仿宋_GB2312" w:eastAsia="仿宋_GB2312" w:cs="仿宋_GB2312"/>
          <w:snapToGrid w:val="0"/>
          <w:color w:val="auto"/>
          <w:spacing w:val="0"/>
          <w:sz w:val="32"/>
          <w:szCs w:val="32"/>
          <w:lang w:val="en-US" w:eastAsia="zh-CN"/>
        </w:rPr>
        <w:t>严格落实废水污染防治措施</w:t>
      </w:r>
      <w:r>
        <w:rPr>
          <w:rFonts w:hint="default"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eastAsia="zh-CN"/>
        </w:rPr>
        <w:t>按</w:t>
      </w:r>
      <w:r>
        <w:rPr>
          <w:rFonts w:hint="eastAsia"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lang w:eastAsia="zh-CN"/>
        </w:rPr>
        <w:t>雨污分流、</w:t>
      </w:r>
      <w:r>
        <w:rPr>
          <w:rFonts w:hint="eastAsia" w:ascii="仿宋_GB2312" w:hAnsi="仿宋_GB2312" w:cs="仿宋_GB2312"/>
          <w:snapToGrid w:val="0"/>
          <w:color w:val="auto"/>
          <w:spacing w:val="0"/>
          <w:sz w:val="32"/>
          <w:szCs w:val="32"/>
          <w:lang w:eastAsia="zh-CN"/>
        </w:rPr>
        <w:t>清污分流、</w:t>
      </w:r>
      <w:r>
        <w:rPr>
          <w:rFonts w:hint="default" w:ascii="仿宋_GB2312" w:hAnsi="仿宋_GB2312" w:eastAsia="仿宋_GB2312" w:cs="仿宋_GB2312"/>
          <w:snapToGrid w:val="0"/>
          <w:color w:val="auto"/>
          <w:spacing w:val="0"/>
          <w:sz w:val="32"/>
          <w:szCs w:val="32"/>
          <w:lang w:eastAsia="zh-CN"/>
        </w:rPr>
        <w:t>污污分流</w:t>
      </w:r>
      <w:r>
        <w:rPr>
          <w:rFonts w:hint="eastAsia"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lang w:val="en-US" w:eastAsia="zh-CN"/>
        </w:rPr>
        <w:t>规范厂区现有水</w:t>
      </w:r>
      <w:r>
        <w:rPr>
          <w:rFonts w:hint="eastAsia" w:ascii="仿宋_GB2312" w:hAnsi="仿宋_GB2312" w:cs="仿宋_GB2312"/>
          <w:snapToGrid w:val="0"/>
          <w:color w:val="auto"/>
          <w:spacing w:val="0"/>
          <w:sz w:val="32"/>
          <w:szCs w:val="32"/>
          <w:lang w:val="en-US" w:eastAsia="zh-CN"/>
        </w:rPr>
        <w:t>循环</w:t>
      </w:r>
      <w:r>
        <w:rPr>
          <w:rFonts w:hint="default" w:ascii="仿宋_GB2312" w:hAnsi="仿宋_GB2312" w:eastAsia="仿宋_GB2312" w:cs="仿宋_GB2312"/>
          <w:snapToGrid w:val="0"/>
          <w:color w:val="auto"/>
          <w:spacing w:val="0"/>
          <w:sz w:val="32"/>
          <w:szCs w:val="32"/>
          <w:lang w:val="en-US" w:eastAsia="zh-CN"/>
        </w:rPr>
        <w:t>系统和废水处理设施</w:t>
      </w:r>
      <w:r>
        <w:rPr>
          <w:rFonts w:hint="default" w:ascii="仿宋_GB2312" w:hAnsi="仿宋_GB2312" w:eastAsia="仿宋_GB2312" w:cs="仿宋_GB2312"/>
          <w:snapToGrid w:val="0"/>
          <w:color w:val="auto"/>
          <w:spacing w:val="0"/>
          <w:sz w:val="32"/>
          <w:szCs w:val="32"/>
          <w:lang w:eastAsia="zh-CN"/>
        </w:rPr>
        <w:t>。</w:t>
      </w:r>
      <w:r>
        <w:rPr>
          <w:rFonts w:hint="eastAsia" w:ascii="仿宋_GB2312" w:hAnsi="仿宋_GB2312" w:cs="仿宋_GB2312"/>
          <w:snapToGrid w:val="0"/>
          <w:color w:val="auto"/>
          <w:spacing w:val="0"/>
          <w:sz w:val="32"/>
          <w:szCs w:val="32"/>
          <w:lang w:eastAsia="zh-CN"/>
        </w:rPr>
        <w:t>项目初期雨水经雨水收集池收集处理后回用于生产，</w:t>
      </w:r>
      <w:r>
        <w:rPr>
          <w:rFonts w:hint="default" w:ascii="仿宋_GB2312" w:hAnsi="仿宋_GB2312" w:eastAsia="仿宋_GB2312" w:cs="仿宋_GB2312"/>
          <w:snapToGrid w:val="0"/>
          <w:color w:val="auto"/>
          <w:spacing w:val="0"/>
          <w:sz w:val="32"/>
          <w:szCs w:val="32"/>
          <w:lang w:val="en-US" w:eastAsia="zh-CN"/>
        </w:rPr>
        <w:t>制浆废水</w:t>
      </w:r>
      <w:r>
        <w:rPr>
          <w:rFonts w:hint="eastAsia" w:ascii="仿宋_GB2312" w:hAnsi="仿宋_GB2312" w:cs="仿宋_GB2312"/>
          <w:snapToGrid w:val="0"/>
          <w:color w:val="auto"/>
          <w:spacing w:val="0"/>
          <w:sz w:val="32"/>
          <w:szCs w:val="32"/>
          <w:lang w:val="en-US" w:eastAsia="zh-CN"/>
        </w:rPr>
        <w:t>、抄纸废水、</w:t>
      </w:r>
      <w:r>
        <w:rPr>
          <w:rFonts w:hint="default" w:ascii="仿宋_GB2312" w:hAnsi="仿宋_GB2312" w:eastAsia="仿宋_GB2312" w:cs="仿宋_GB2312"/>
          <w:snapToGrid w:val="0"/>
          <w:color w:val="auto"/>
          <w:spacing w:val="0"/>
          <w:sz w:val="32"/>
          <w:szCs w:val="32"/>
          <w:lang w:val="en-US" w:eastAsia="zh-CN"/>
        </w:rPr>
        <w:t>锅炉软水制备排污水及生活污水（先经隔油池、化粪池预处理）进入污水处理站生化处理系统，</w:t>
      </w:r>
      <w:r>
        <w:rPr>
          <w:rFonts w:hint="eastAsia" w:ascii="仿宋_GB2312" w:hAnsi="仿宋_GB2312" w:cs="仿宋_GB2312"/>
          <w:snapToGrid w:val="0"/>
          <w:color w:val="auto"/>
          <w:spacing w:val="0"/>
          <w:sz w:val="32"/>
          <w:szCs w:val="32"/>
          <w:lang w:val="en-US" w:eastAsia="zh-CN"/>
        </w:rPr>
        <w:t>通过</w:t>
      </w:r>
      <w:r>
        <w:rPr>
          <w:rFonts w:hint="default" w:ascii="仿宋_GB2312" w:hAnsi="仿宋_GB2312" w:eastAsia="仿宋_GB2312" w:cs="仿宋_GB2312"/>
          <w:snapToGrid w:val="0"/>
          <w:color w:val="auto"/>
          <w:spacing w:val="0"/>
          <w:sz w:val="32"/>
          <w:szCs w:val="32"/>
          <w:lang w:val="en-US" w:eastAsia="zh-CN"/>
        </w:rPr>
        <w:t>一级物化处理（集水池+初沉池）+二级生化处理（厌氧+好氧）+三级深度处理工艺（二沉池+清水回用池）</w:t>
      </w:r>
      <w:r>
        <w:rPr>
          <w:rFonts w:hint="eastAsia" w:ascii="仿宋_GB2312" w:hAnsi="仿宋_GB2312" w:cs="仿宋_GB2312"/>
          <w:snapToGrid w:val="0"/>
          <w:color w:val="auto"/>
          <w:spacing w:val="0"/>
          <w:sz w:val="32"/>
          <w:szCs w:val="32"/>
          <w:lang w:val="en-US" w:eastAsia="zh-CN"/>
        </w:rPr>
        <w:t>处理后达到回用水质要求后回用于生产，不外排。雨水排放口设置视频监控并按要求联网。</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w:t>
      </w:r>
      <w:r>
        <w:rPr>
          <w:rFonts w:hint="eastAsia" w:ascii="仿宋_GB2312" w:hAnsi="仿宋_GB2312" w:cs="仿宋_GB2312"/>
          <w:snapToGrid w:val="0"/>
          <w:color w:val="auto"/>
          <w:spacing w:val="0"/>
          <w:sz w:val="32"/>
          <w:szCs w:val="32"/>
          <w:lang w:val="en-US" w:eastAsia="zh-CN"/>
        </w:rPr>
        <w:t>五</w:t>
      </w:r>
      <w:r>
        <w:rPr>
          <w:rFonts w:hint="eastAsia" w:ascii="仿宋_GB2312" w:hAnsi="仿宋_GB2312" w:eastAsia="仿宋_GB2312" w:cs="仿宋_GB2312"/>
          <w:snapToGrid w:val="0"/>
          <w:color w:val="auto"/>
          <w:spacing w:val="0"/>
          <w:sz w:val="32"/>
          <w:szCs w:val="32"/>
          <w:lang w:val="en-US" w:eastAsia="zh-CN"/>
        </w:rPr>
        <w:t>）严格落实噪声污染防治措施。项目应合理布置，选用低噪声设备，并采取有效的隔声降噪措施，确保厂界噪声达到《工业企业厂界环境噪声排放标准》（GB12348-2008）</w:t>
      </w:r>
      <w:r>
        <w:rPr>
          <w:rFonts w:hint="eastAsia" w:ascii="仿宋_GB2312" w:hAnsi="仿宋_GB2312" w:cs="仿宋_GB2312"/>
          <w:snapToGrid w:val="0"/>
          <w:color w:val="auto"/>
          <w:spacing w:val="0"/>
          <w:sz w:val="32"/>
          <w:szCs w:val="32"/>
          <w:lang w:val="en-US" w:eastAsia="zh-CN"/>
        </w:rPr>
        <w:t>2</w:t>
      </w:r>
      <w:r>
        <w:rPr>
          <w:rFonts w:hint="eastAsia" w:ascii="仿宋_GB2312" w:hAnsi="仿宋_GB2312" w:eastAsia="仿宋_GB2312" w:cs="仿宋_GB2312"/>
          <w:snapToGrid w:val="0"/>
          <w:color w:val="auto"/>
          <w:spacing w:val="0"/>
          <w:sz w:val="32"/>
          <w:szCs w:val="32"/>
          <w:lang w:val="en-US" w:eastAsia="zh-CN"/>
        </w:rPr>
        <w:t>类标准。</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val="en-US" w:eastAsia="zh-CN"/>
        </w:rPr>
        <w:t>（</w:t>
      </w:r>
      <w:r>
        <w:rPr>
          <w:rFonts w:hint="eastAsia" w:ascii="仿宋_GB2312" w:hAnsi="仿宋_GB2312" w:cs="仿宋_GB2312"/>
          <w:snapToGrid w:val="0"/>
          <w:color w:val="auto"/>
          <w:spacing w:val="0"/>
          <w:sz w:val="32"/>
          <w:szCs w:val="32"/>
          <w:lang w:val="en-US" w:eastAsia="zh-CN"/>
        </w:rPr>
        <w:t>六</w:t>
      </w:r>
      <w:r>
        <w:rPr>
          <w:rFonts w:hint="default" w:ascii="仿宋_GB2312" w:hAnsi="仿宋_GB2312" w:eastAsia="仿宋_GB2312" w:cs="仿宋_GB2312"/>
          <w:snapToGrid w:val="0"/>
          <w:color w:val="auto"/>
          <w:spacing w:val="0"/>
          <w:sz w:val="32"/>
          <w:szCs w:val="32"/>
          <w:lang w:val="en-US" w:eastAsia="zh-CN"/>
        </w:rPr>
        <w:t>）</w:t>
      </w:r>
      <w:r>
        <w:rPr>
          <w:rFonts w:hint="eastAsia" w:ascii="仿宋_GB2312" w:hAnsi="仿宋_GB2312" w:eastAsia="仿宋_GB2312" w:cs="仿宋_GB2312"/>
          <w:b w:val="0"/>
          <w:bCs w:val="0"/>
          <w:color w:val="auto"/>
          <w:kern w:val="2"/>
          <w:sz w:val="32"/>
          <w:szCs w:val="32"/>
          <w:highlight w:val="none"/>
          <w:lang w:val="en-US" w:eastAsia="zh-CN" w:bidi="ar-SA"/>
        </w:rPr>
        <w:t>加强项目营运期固体废物污染防治工作。按照“减量化、资源化、无害化”原则做好固体废物分类收集、贮存处理和综合利用，并确保不造成二次污染。</w:t>
      </w:r>
      <w:r>
        <w:rPr>
          <w:rFonts w:hint="eastAsia" w:ascii="仿宋_GB2312" w:hAnsi="仿宋_GB2312" w:eastAsia="仿宋_GB2312" w:cs="仿宋_GB2312"/>
          <w:color w:val="auto"/>
          <w:sz w:val="32"/>
          <w:szCs w:val="32"/>
          <w:highlight w:val="none"/>
          <w:lang w:eastAsia="zh-CN"/>
        </w:rPr>
        <w:t>本项目产生的一般固废和危险废物在厂内贮存、转移时应分别满足《一般工业固体废物贮存和填埋控制标准》（</w:t>
      </w:r>
      <w:r>
        <w:rPr>
          <w:rFonts w:hint="eastAsia" w:ascii="仿宋_GB2312" w:hAnsi="仿宋_GB2312" w:eastAsia="仿宋_GB2312" w:cs="仿宋_GB2312"/>
          <w:color w:val="auto"/>
          <w:sz w:val="32"/>
          <w:szCs w:val="32"/>
          <w:highlight w:val="none"/>
          <w:lang w:val="en-US" w:eastAsia="zh-CN"/>
        </w:rPr>
        <w:t>GB18599-2020</w:t>
      </w:r>
      <w:r>
        <w:rPr>
          <w:rFonts w:hint="eastAsia" w:ascii="仿宋_GB2312" w:hAnsi="仿宋_GB2312" w:eastAsia="仿宋_GB2312" w:cs="仿宋_GB2312"/>
          <w:color w:val="auto"/>
          <w:sz w:val="32"/>
          <w:szCs w:val="32"/>
          <w:highlight w:val="none"/>
          <w:lang w:eastAsia="zh-CN"/>
        </w:rPr>
        <w:t>）和《危险废物贮存污染控制标准》（GB18597-2023）的相关要求。</w:t>
      </w:r>
      <w:r>
        <w:rPr>
          <w:rFonts w:hint="eastAsia" w:ascii="仿宋_GB2312" w:hAnsi="仿宋_GB2312" w:eastAsia="仿宋_GB2312" w:cs="仿宋_GB2312"/>
          <w:color w:val="auto"/>
          <w:sz w:val="32"/>
          <w:szCs w:val="32"/>
          <w:highlight w:val="none"/>
          <w:lang w:val="en-US" w:eastAsia="zh-CN"/>
        </w:rPr>
        <w:t>生活垃圾统一收集后交由当地环卫部门处置。委托他人运输、利用、处置的，应当对受委托方的主体资格和技术能力进行核实，依法签订书面合同，并在合同中约定污染防治要求</w:t>
      </w:r>
      <w:r>
        <w:rPr>
          <w:rFonts w:hint="default" w:ascii="仿宋_GB2312" w:hAnsi="仿宋_GB2312" w:eastAsia="仿宋_GB2312" w:cs="仿宋_GB2312"/>
          <w:snapToGrid w:val="0"/>
          <w:color w:val="auto"/>
          <w:spacing w:val="0"/>
          <w:sz w:val="32"/>
          <w:szCs w:val="32"/>
          <w:lang w:val="en-US" w:eastAsia="zh-CN"/>
        </w:rPr>
        <w:t>。</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cs="仿宋_GB2312"/>
          <w:snapToGrid w:val="0"/>
          <w:color w:val="auto"/>
          <w:spacing w:val="0"/>
          <w:sz w:val="32"/>
          <w:szCs w:val="32"/>
          <w:lang w:val="en-US" w:eastAsia="zh-CN"/>
        </w:rPr>
      </w:pPr>
      <w:r>
        <w:rPr>
          <w:rFonts w:hint="eastAsia" w:ascii="仿宋_GB2312" w:hAnsi="仿宋_GB2312" w:cs="仿宋_GB2312"/>
          <w:snapToGrid w:val="0"/>
          <w:color w:val="auto"/>
          <w:spacing w:val="0"/>
          <w:sz w:val="32"/>
          <w:szCs w:val="32"/>
          <w:lang w:val="en-US" w:eastAsia="zh-CN"/>
        </w:rPr>
        <w:t>（七）落实土壤和地下水防治要求。按照“源头控制、末端治理、污染监控、应急响应”相结合的原则，从污染物的产生、入渗、扩散、应急响应全阶段进行控制；确保各项防渗措施得以落实，有效控制厂区内的废水污染物下渗现象；建立完善的地下水和土壤监测制度，按规范合理设置地下水跟踪监测井，确保地下水环境和土壤环境安全。</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cs="仿宋_GB2312"/>
          <w:snapToGrid w:val="0"/>
          <w:color w:val="auto"/>
          <w:spacing w:val="0"/>
          <w:sz w:val="32"/>
          <w:szCs w:val="32"/>
          <w:lang w:val="en-US" w:eastAsia="zh-CN"/>
        </w:rPr>
        <w:t>（八）</w:t>
      </w:r>
      <w:r>
        <w:rPr>
          <w:rFonts w:hint="default" w:ascii="仿宋_GB2312" w:hAnsi="仿宋_GB2312" w:eastAsia="仿宋_GB2312" w:cs="仿宋_GB2312"/>
          <w:snapToGrid w:val="0"/>
          <w:color w:val="auto"/>
          <w:spacing w:val="0"/>
          <w:sz w:val="32"/>
          <w:szCs w:val="32"/>
          <w:lang w:val="en-US" w:eastAsia="zh-CN"/>
        </w:rPr>
        <w:t>加强环境风险防范。</w:t>
      </w:r>
      <w:r>
        <w:rPr>
          <w:rFonts w:hint="eastAsia" w:ascii="仿宋_GB2312" w:hAnsi="仿宋_GB2312" w:eastAsia="仿宋_GB2312" w:cs="仿宋_GB2312"/>
          <w:snapToGrid w:val="0"/>
          <w:color w:val="auto"/>
          <w:spacing w:val="0"/>
          <w:sz w:val="32"/>
          <w:szCs w:val="32"/>
          <w:lang w:val="en-US" w:eastAsia="zh-CN"/>
        </w:rPr>
        <w:t>建设单位</w:t>
      </w:r>
      <w:r>
        <w:rPr>
          <w:rFonts w:hint="eastAsia" w:ascii="仿宋_GB2312" w:hAnsi="仿宋_GB2312" w:cs="仿宋_GB2312"/>
          <w:snapToGrid w:val="0"/>
          <w:color w:val="auto"/>
          <w:spacing w:val="0"/>
          <w:sz w:val="32"/>
          <w:szCs w:val="32"/>
          <w:lang w:val="en-US" w:eastAsia="zh-CN"/>
        </w:rPr>
        <w:t>应</w:t>
      </w:r>
      <w:r>
        <w:rPr>
          <w:rFonts w:hint="eastAsia" w:ascii="仿宋_GB2312" w:hAnsi="仿宋_GB2312" w:eastAsia="仿宋_GB2312" w:cs="仿宋_GB2312"/>
          <w:snapToGrid w:val="0"/>
          <w:color w:val="auto"/>
          <w:spacing w:val="0"/>
          <w:sz w:val="32"/>
          <w:szCs w:val="32"/>
          <w:lang w:val="en-US" w:eastAsia="zh-CN"/>
        </w:rPr>
        <w:t>加强项目的日常管理和安全防范，</w:t>
      </w:r>
      <w:r>
        <w:rPr>
          <w:rFonts w:hint="default" w:ascii="仿宋_GB2312" w:hAnsi="仿宋_GB2312" w:eastAsia="仿宋_GB2312" w:cs="仿宋_GB2312"/>
          <w:snapToGrid w:val="0"/>
          <w:color w:val="auto"/>
          <w:spacing w:val="0"/>
          <w:sz w:val="32"/>
          <w:szCs w:val="32"/>
          <w:lang w:val="en-US" w:eastAsia="zh-CN"/>
        </w:rPr>
        <w:t>定期监测各污染源，确保环保设施稳定正常运行和污染物稳定达标排放</w:t>
      </w:r>
      <w:r>
        <w:rPr>
          <w:rFonts w:hint="eastAsia" w:ascii="仿宋_GB2312" w:hAnsi="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rPr>
        <w:t>严格按照</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rPr>
        <w:t>报告书</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rPr>
        <w:t>中环境风险评价章节制定切实有效的</w:t>
      </w:r>
      <w:r>
        <w:rPr>
          <w:rFonts w:hint="eastAsia" w:ascii="仿宋_GB2312" w:hAnsi="仿宋_GB2312" w:eastAsia="仿宋_GB2312" w:cs="仿宋_GB2312"/>
          <w:snapToGrid w:val="0"/>
          <w:color w:val="auto"/>
          <w:spacing w:val="0"/>
          <w:sz w:val="32"/>
          <w:szCs w:val="32"/>
          <w:lang w:val="en-US" w:eastAsia="zh-CN"/>
        </w:rPr>
        <w:t>风险防范措施和应急措施，</w:t>
      </w:r>
      <w:r>
        <w:rPr>
          <w:rFonts w:hint="default" w:ascii="仿宋_GB2312" w:hAnsi="仿宋_GB2312" w:eastAsia="仿宋_GB2312" w:cs="仿宋_GB2312"/>
          <w:snapToGrid w:val="0"/>
          <w:color w:val="auto"/>
          <w:spacing w:val="0"/>
          <w:sz w:val="32"/>
          <w:szCs w:val="32"/>
          <w:lang w:val="en-US" w:eastAsia="zh-CN"/>
        </w:rPr>
        <w:t>编制突发环境事件应急预案</w:t>
      </w:r>
      <w:r>
        <w:rPr>
          <w:rFonts w:hint="eastAsia" w:ascii="仿宋_GB2312" w:hAnsi="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lang w:val="en-US" w:eastAsia="zh-CN"/>
        </w:rPr>
        <w:t>建立健全各项环保</w:t>
      </w:r>
      <w:r>
        <w:rPr>
          <w:rFonts w:hint="eastAsia" w:ascii="仿宋_GB2312" w:hAnsi="仿宋_GB2312" w:eastAsia="仿宋_GB2312" w:cs="仿宋_GB2312"/>
          <w:snapToGrid w:val="0"/>
          <w:color w:val="auto"/>
          <w:spacing w:val="0"/>
          <w:sz w:val="32"/>
          <w:szCs w:val="32"/>
        </w:rPr>
        <w:t>规章制度和岗位责任制，设置专门的环保管理机构，落实专职环保技术人员、落实环境管理与监测</w:t>
      </w:r>
      <w:r>
        <w:rPr>
          <w:rFonts w:hint="eastAsia" w:ascii="仿宋_GB2312" w:hAnsi="仿宋_GB2312" w:cs="仿宋_GB2312"/>
          <w:snapToGrid w:val="0"/>
          <w:color w:val="auto"/>
          <w:spacing w:val="0"/>
          <w:sz w:val="32"/>
          <w:szCs w:val="32"/>
          <w:lang w:eastAsia="zh-CN"/>
        </w:rPr>
        <w:t>计划。</w:t>
      </w:r>
      <w:r>
        <w:rPr>
          <w:rFonts w:hint="eastAsia" w:ascii="仿宋_GB2312" w:hAnsi="仿宋_GB2312" w:eastAsia="仿宋_GB2312" w:cs="仿宋_GB2312"/>
          <w:snapToGrid w:val="0"/>
          <w:color w:val="auto"/>
          <w:spacing w:val="0"/>
          <w:sz w:val="32"/>
          <w:szCs w:val="32"/>
          <w:lang w:val="en-US" w:eastAsia="zh-CN"/>
        </w:rPr>
        <w:t>加强环保设施安全管理和巡查工作，杜绝发生环保设施安全事故。</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cs="仿宋_GB2312"/>
          <w:color w:val="auto"/>
          <w:sz w:val="32"/>
          <w:szCs w:val="32"/>
          <w:highlight w:val="none"/>
          <w:lang w:eastAsia="zh-CN"/>
        </w:rPr>
        <w:t>（九）严格实行清洁生产。</w:t>
      </w:r>
      <w:r>
        <w:rPr>
          <w:rFonts w:hint="default" w:ascii="仿宋_GB2312" w:hAnsi="仿宋_GB2312" w:cs="仿宋_GB2312"/>
          <w:color w:val="auto"/>
          <w:sz w:val="32"/>
          <w:szCs w:val="32"/>
          <w:highlight w:val="none"/>
          <w:lang w:eastAsia="zh-CN"/>
        </w:rPr>
        <w:t>建立完善</w:t>
      </w:r>
      <w:r>
        <w:rPr>
          <w:rFonts w:hint="eastAsia" w:ascii="仿宋_GB2312" w:hAnsi="仿宋_GB2312" w:cs="仿宋_GB2312"/>
          <w:color w:val="auto"/>
          <w:sz w:val="32"/>
          <w:szCs w:val="32"/>
          <w:highlight w:val="none"/>
          <w:lang w:eastAsia="zh-CN"/>
        </w:rPr>
        <w:t>的</w:t>
      </w:r>
      <w:r>
        <w:rPr>
          <w:rFonts w:hint="default" w:ascii="仿宋_GB2312" w:hAnsi="仿宋_GB2312" w:cs="仿宋_GB2312"/>
          <w:color w:val="auto"/>
          <w:sz w:val="32"/>
          <w:szCs w:val="32"/>
          <w:highlight w:val="none"/>
          <w:lang w:eastAsia="zh-CN"/>
        </w:rPr>
        <w:t>清洁生产管理制度</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snapToGrid w:val="0"/>
          <w:color w:val="auto"/>
          <w:spacing w:val="0"/>
          <w:sz w:val="32"/>
          <w:szCs w:val="32"/>
        </w:rPr>
        <w:t>严格</w:t>
      </w:r>
      <w:r>
        <w:rPr>
          <w:rFonts w:hint="eastAsia" w:ascii="仿宋_GB2312" w:hAnsi="仿宋_GB2312" w:cs="仿宋_GB2312"/>
          <w:snapToGrid w:val="0"/>
          <w:color w:val="auto"/>
          <w:spacing w:val="0"/>
          <w:sz w:val="32"/>
          <w:szCs w:val="32"/>
          <w:lang w:eastAsia="zh-CN"/>
        </w:rPr>
        <w:t>执行</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rPr>
        <w:t>报告书</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cs="仿宋_GB2312"/>
          <w:snapToGrid w:val="0"/>
          <w:color w:val="auto"/>
          <w:spacing w:val="0"/>
          <w:sz w:val="32"/>
          <w:szCs w:val="32"/>
          <w:lang w:eastAsia="zh-CN"/>
        </w:rPr>
        <w:t>提出的节能、节水措施和废物回收利用措施，提高资源利用率；</w:t>
      </w:r>
      <w:r>
        <w:rPr>
          <w:rFonts w:hint="eastAsia" w:ascii="仿宋_GB2312" w:hAnsi="仿宋_GB2312" w:cs="仿宋_GB2312"/>
          <w:snapToGrid w:val="0"/>
          <w:color w:val="auto"/>
          <w:spacing w:val="0"/>
          <w:sz w:val="32"/>
          <w:szCs w:val="32"/>
          <w:lang w:val="en-US" w:eastAsia="zh-CN"/>
        </w:rPr>
        <w:t>全过程控制污染，确保环保设施正常运行，减少污染物的产生与排放。</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三、严格落实污染物排放总量控制措施。本项目污染物排放总量必须严格控制在以下指标内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0"/>
          <w:kern w:val="2"/>
          <w:sz w:val="32"/>
          <w:szCs w:val="32"/>
          <w:highlight w:val="none"/>
          <w:u w:val="none" w:color="auto"/>
          <w:lang w:val="en-US" w:eastAsia="zh-CN" w:bidi="ar-SA"/>
        </w:rPr>
        <w:t>二氧化硫</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cs="仿宋_GB2312"/>
          <w:color w:val="auto"/>
          <w:spacing w:val="0"/>
          <w:kern w:val="2"/>
          <w:sz w:val="32"/>
          <w:szCs w:val="32"/>
          <w:highlight w:val="none"/>
          <w:u w:val="none" w:color="auto"/>
          <w:lang w:val="en-US" w:eastAsia="zh-CN" w:bidi="ar-SA"/>
        </w:rPr>
        <w:t>5.124</w:t>
      </w:r>
      <w:r>
        <w:rPr>
          <w:rFonts w:hint="eastAsia" w:ascii="仿宋_GB2312" w:hAnsi="仿宋_GB2312" w:eastAsia="仿宋_GB2312" w:cs="仿宋_GB2312"/>
          <w:color w:val="auto"/>
          <w:spacing w:val="0"/>
          <w:kern w:val="2"/>
          <w:sz w:val="32"/>
          <w:szCs w:val="32"/>
          <w:highlight w:val="none"/>
          <w:u w:val="none" w:color="auto"/>
          <w:lang w:val="en-US" w:eastAsia="zh-CN" w:bidi="ar-SA"/>
        </w:rPr>
        <w:t>t/a，氮氧化物</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cs="仿宋_GB2312"/>
          <w:color w:val="auto"/>
          <w:spacing w:val="0"/>
          <w:kern w:val="2"/>
          <w:sz w:val="32"/>
          <w:szCs w:val="32"/>
          <w:highlight w:val="none"/>
          <w:u w:val="none" w:color="auto"/>
          <w:lang w:val="en-US" w:eastAsia="zh-CN" w:bidi="ar-SA"/>
        </w:rPr>
        <w:t>20.497</w:t>
      </w:r>
      <w:r>
        <w:rPr>
          <w:rFonts w:hint="eastAsia" w:ascii="仿宋_GB2312" w:hAnsi="仿宋_GB2312" w:eastAsia="仿宋_GB2312" w:cs="仿宋_GB2312"/>
          <w:color w:val="auto"/>
          <w:spacing w:val="0"/>
          <w:kern w:val="2"/>
          <w:sz w:val="32"/>
          <w:szCs w:val="32"/>
          <w:highlight w:val="none"/>
          <w:u w:val="none" w:color="auto"/>
          <w:lang w:val="en-US" w:eastAsia="zh-CN" w:bidi="ar-SA"/>
        </w:rPr>
        <w:t>t/a</w:t>
      </w:r>
      <w:r>
        <w:rPr>
          <w:rFonts w:hint="eastAsia" w:ascii="仿宋_GB2312" w:hAnsi="仿宋_GB2312" w:eastAsia="仿宋_GB2312" w:cs="仿宋_GB2312"/>
          <w:color w:val="auto"/>
          <w:sz w:val="32"/>
          <w:szCs w:val="32"/>
          <w:highlight w:val="none"/>
        </w:rPr>
        <w:t>。</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rPr>
      </w:pPr>
      <w:r>
        <w:rPr>
          <w:rFonts w:hint="eastAsia" w:ascii="仿宋_GB2312" w:hAnsi="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napToGrid w:val="0"/>
          <w:color w:val="auto"/>
          <w:spacing w:val="0"/>
          <w:sz w:val="32"/>
          <w:szCs w:val="32"/>
          <w:lang w:eastAsia="zh-CN"/>
        </w:rPr>
        <w:t>你公司须严格按照《排污许可管理条例》要求落实排污许可相关工作</w:t>
      </w:r>
      <w:r>
        <w:rPr>
          <w:rFonts w:hint="eastAsia" w:ascii="仿宋_GB2312" w:hAnsi="仿宋_GB2312" w:eastAsia="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rPr>
        <w:t>项目建设必须严格执行配套的环境保护设施与主体工程同时设计、同时施工、同时投入使用的“三同时”制度。项目竣工后，按照相关规定做好环保竣工验收工作</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经批准后，该项目的性质、规模、地点、生产工艺或者防治污染、防止生态破坏的措施发生重大变动的，须重新报批环境影响报告书。自</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批复文件批准之日起，如超过5年方决定工程开工建设的，环境影响报告书应当报我局重新审核。</w:t>
      </w:r>
      <w:r>
        <w:rPr>
          <w:rFonts w:hint="eastAsia" w:ascii="仿宋_GB2312" w:hAnsi="仿宋_GB2312" w:eastAsia="仿宋_GB2312" w:cs="仿宋_GB2312"/>
          <w:snapToGrid w:val="0"/>
          <w:color w:val="auto"/>
          <w:spacing w:val="0"/>
          <w:sz w:val="32"/>
          <w:szCs w:val="32"/>
          <w:lang w:eastAsia="zh-CN"/>
        </w:rPr>
        <w:t>应按要求开展</w:t>
      </w:r>
      <w:r>
        <w:rPr>
          <w:rFonts w:hint="eastAsia" w:ascii="仿宋_GB2312" w:hAnsi="仿宋_GB2312" w:eastAsia="仿宋_GB2312" w:cs="仿宋_GB2312"/>
          <w:snapToGrid w:val="0"/>
          <w:color w:val="auto"/>
          <w:spacing w:val="0"/>
          <w:sz w:val="32"/>
          <w:szCs w:val="32"/>
        </w:rPr>
        <w:t>环境影响后评价</w:t>
      </w:r>
      <w:r>
        <w:rPr>
          <w:rFonts w:hint="eastAsia" w:ascii="仿宋_GB2312" w:hAnsi="仿宋_GB2312" w:eastAsia="仿宋_GB2312" w:cs="仿宋_GB2312"/>
          <w:snapToGrid w:val="0"/>
          <w:color w:val="auto"/>
          <w:spacing w:val="0"/>
          <w:sz w:val="32"/>
          <w:szCs w:val="32"/>
          <w:lang w:eastAsia="zh-CN"/>
        </w:rPr>
        <w:t>工作</w:t>
      </w:r>
      <w:r>
        <w:rPr>
          <w:rFonts w:hint="eastAsia" w:ascii="仿宋_GB2312" w:hAnsi="仿宋_GB2312" w:eastAsia="仿宋_GB2312" w:cs="仿宋_GB2312"/>
          <w:snapToGrid w:val="0"/>
          <w:color w:val="auto"/>
          <w:spacing w:val="0"/>
          <w:sz w:val="32"/>
          <w:szCs w:val="32"/>
        </w:rPr>
        <w:t>，并报我局和建设项目审批部门备案。</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cs="仿宋_GB2312"/>
          <w:snapToGrid w:val="0"/>
          <w:color w:val="auto"/>
          <w:spacing w:val="0"/>
          <w:sz w:val="32"/>
          <w:szCs w:val="32"/>
          <w:lang w:val="en-US" w:eastAsia="zh-CN"/>
        </w:rPr>
        <w:t>五</w:t>
      </w:r>
      <w:r>
        <w:rPr>
          <w:rFonts w:hint="eastAsia" w:ascii="仿宋_GB2312" w:hAnsi="仿宋_GB2312" w:eastAsia="仿宋_GB2312" w:cs="仿宋_GB2312"/>
          <w:snapToGrid w:val="0"/>
          <w:color w:val="auto"/>
          <w:spacing w:val="0"/>
          <w:sz w:val="32"/>
          <w:szCs w:val="32"/>
          <w:lang w:val="en-US" w:eastAsia="zh-CN"/>
        </w:rPr>
        <w:t>、你公司应在收到本批复后15个工作日内，将批复及批准的环境影响报告书送衡</w:t>
      </w:r>
      <w:r>
        <w:rPr>
          <w:rFonts w:hint="eastAsia" w:ascii="仿宋_GB2312" w:hAnsi="仿宋_GB2312" w:cs="仿宋_GB2312"/>
          <w:snapToGrid w:val="0"/>
          <w:color w:val="auto"/>
          <w:spacing w:val="0"/>
          <w:sz w:val="32"/>
          <w:szCs w:val="32"/>
          <w:lang w:val="en-US" w:eastAsia="zh-CN"/>
        </w:rPr>
        <w:t>山</w:t>
      </w:r>
      <w:r>
        <w:rPr>
          <w:rFonts w:hint="eastAsia" w:ascii="仿宋_GB2312" w:hAnsi="仿宋_GB2312" w:eastAsia="仿宋_GB2312" w:cs="仿宋_GB2312"/>
          <w:snapToGrid w:val="0"/>
          <w:color w:val="auto"/>
          <w:spacing w:val="0"/>
          <w:sz w:val="32"/>
          <w:szCs w:val="32"/>
          <w:lang w:val="en-US" w:eastAsia="zh-CN"/>
        </w:rPr>
        <w:t>县人民政府、衡阳市生态环境局衡</w:t>
      </w:r>
      <w:r>
        <w:rPr>
          <w:rFonts w:hint="eastAsia" w:ascii="仿宋_GB2312" w:hAnsi="仿宋_GB2312" w:cs="仿宋_GB2312"/>
          <w:snapToGrid w:val="0"/>
          <w:color w:val="auto"/>
          <w:spacing w:val="0"/>
          <w:sz w:val="32"/>
          <w:szCs w:val="32"/>
          <w:lang w:val="en-US" w:eastAsia="zh-CN"/>
        </w:rPr>
        <w:t>山</w:t>
      </w:r>
      <w:r>
        <w:rPr>
          <w:rFonts w:hint="eastAsia" w:ascii="仿宋_GB2312" w:hAnsi="仿宋_GB2312" w:eastAsia="仿宋_GB2312" w:cs="仿宋_GB2312"/>
          <w:snapToGrid w:val="0"/>
          <w:color w:val="auto"/>
          <w:spacing w:val="0"/>
          <w:sz w:val="32"/>
          <w:szCs w:val="32"/>
          <w:lang w:val="en-US" w:eastAsia="zh-CN"/>
        </w:rPr>
        <w:t>分局。本项目“三同时”监督检查和事中、事后日常环境管理工作由衡阳市生态环境局衡</w:t>
      </w:r>
      <w:r>
        <w:rPr>
          <w:rFonts w:hint="eastAsia" w:ascii="仿宋_GB2312" w:hAnsi="仿宋_GB2312" w:cs="仿宋_GB2312"/>
          <w:snapToGrid w:val="0"/>
          <w:color w:val="auto"/>
          <w:spacing w:val="0"/>
          <w:sz w:val="32"/>
          <w:szCs w:val="32"/>
          <w:lang w:val="en-US" w:eastAsia="zh-CN"/>
        </w:rPr>
        <w:t>山</w:t>
      </w:r>
      <w:r>
        <w:rPr>
          <w:rFonts w:hint="eastAsia" w:ascii="仿宋_GB2312" w:hAnsi="仿宋_GB2312" w:eastAsia="仿宋_GB2312" w:cs="仿宋_GB2312"/>
          <w:snapToGrid w:val="0"/>
          <w:color w:val="auto"/>
          <w:spacing w:val="0"/>
          <w:sz w:val="32"/>
          <w:szCs w:val="32"/>
          <w:lang w:val="en-US" w:eastAsia="zh-CN"/>
        </w:rPr>
        <w:t>分局具体负责，并按规定接受各级生态环境行政主管部门的监督检查。</w:t>
      </w:r>
      <w:r>
        <w:rPr>
          <w:rFonts w:hint="eastAsia" w:ascii="仿宋_GB2312" w:hAnsi="仿宋_GB2312" w:eastAsia="仿宋_GB2312" w:cs="仿宋_GB2312"/>
          <w:snapToGrid w:val="0"/>
          <w:color w:val="auto"/>
          <w:spacing w:val="0"/>
          <w:sz w:val="32"/>
          <w:szCs w:val="32"/>
          <w:lang w:val="en-US" w:eastAsia="zh-CN"/>
        </w:rPr>
        <w:br w:type="textWrapping"/>
      </w:r>
      <w:r>
        <w:rPr>
          <w:rFonts w:hint="eastAsia" w:ascii="仿宋_GB2312" w:hAnsi="仿宋_GB2312" w:eastAsia="仿宋_GB2312" w:cs="仿宋_GB2312"/>
          <w:snapToGrid w:val="0"/>
          <w:color w:val="auto"/>
          <w:spacing w:val="0"/>
          <w:sz w:val="32"/>
          <w:szCs w:val="32"/>
          <w:lang w:val="en-US" w:eastAsia="zh-CN"/>
        </w:rPr>
        <w:t xml:space="preserve">    你公司如对本批复不服，可以在收到决定书之日起六十日内依法向衡阳市人民政府申请行政复议，或者六个月内向衡阳铁路运输法院提起行政诉讼。</w:t>
      </w:r>
    </w:p>
    <w:p>
      <w:pPr>
        <w:pStyle w:val="4"/>
        <w:keepNext w:val="0"/>
        <w:keepLines w:val="0"/>
        <w:pageBreakBefore w:val="0"/>
        <w:tabs>
          <w:tab w:val="left" w:pos="1021"/>
        </w:tabs>
        <w:kinsoku/>
        <w:wordWrap/>
        <w:overflowPunct/>
        <w:topLinePunct w:val="0"/>
        <w:autoSpaceDE/>
        <w:autoSpaceDN/>
        <w:bidi w:val="0"/>
        <w:spacing w:line="580" w:lineRule="exact"/>
        <w:textAlignment w:val="auto"/>
        <w:rPr>
          <w:rFonts w:hint="eastAsia" w:ascii="仿宋_GB2312" w:hAnsi="仿宋_GB2312" w:eastAsia="仿宋_GB2312" w:cs="仿宋_GB2312"/>
          <w:color w:val="auto"/>
          <w:kern w:val="2"/>
          <w:sz w:val="32"/>
          <w:szCs w:val="32"/>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val="0"/>
        <w:snapToGrid w:val="0"/>
        <w:spacing w:line="580" w:lineRule="exact"/>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val="0"/>
        <w:overflowPunct/>
        <w:topLinePunct w:val="0"/>
        <w:autoSpaceDE/>
        <w:autoSpaceDN/>
        <w:bidi w:val="0"/>
        <w:adjustRightInd w:val="0"/>
        <w:snapToGrid w:val="0"/>
        <w:spacing w:line="580" w:lineRule="exact"/>
        <w:ind w:firstLine="4480" w:firstLineChars="1400"/>
        <w:jc w:val="righ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衡阳市生态环境局</w:t>
      </w:r>
      <w:r>
        <w:rPr>
          <w:rFonts w:hint="eastAsia" w:ascii="仿宋_GB2312" w:hAnsi="仿宋_GB2312" w:cs="仿宋_GB2312"/>
          <w:color w:val="auto"/>
          <w:sz w:val="32"/>
          <w:szCs w:val="32"/>
          <w:highlight w:val="none"/>
          <w:lang w:val="en-US" w:eastAsia="zh-CN"/>
        </w:rPr>
        <w:t xml:space="preserve">    </w:t>
      </w:r>
    </w:p>
    <w:p>
      <w:pPr>
        <w:pStyle w:val="7"/>
        <w:wordWrap w:val="0"/>
        <w:jc w:val="right"/>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2026年6月9日    </w:t>
      </w:r>
    </w:p>
    <w:p>
      <w:pPr>
        <w:rPr>
          <w:rFonts w:hint="eastAsia"/>
          <w:color w:val="auto"/>
        </w:rPr>
      </w:pPr>
    </w:p>
    <w:p>
      <w:pPr>
        <w:pStyle w:val="4"/>
        <w:rPr>
          <w:rFonts w:hint="eastAsia"/>
          <w:color w:val="auto"/>
        </w:rPr>
      </w:pPr>
    </w:p>
    <w:p>
      <w:pPr>
        <w:rPr>
          <w:rFonts w:hint="eastAsia"/>
          <w:color w:val="auto"/>
        </w:rPr>
      </w:pPr>
    </w:p>
    <w:p>
      <w:pPr>
        <w:pStyle w:val="4"/>
        <w:rPr>
          <w:rFonts w:hint="eastAsia"/>
          <w:color w:val="auto"/>
        </w:rPr>
      </w:pPr>
    </w:p>
    <w:p>
      <w:pPr>
        <w:rPr>
          <w:rFonts w:hint="eastAsia"/>
          <w:color w:val="auto"/>
        </w:rPr>
      </w:pPr>
    </w:p>
    <w:p>
      <w:pPr>
        <w:pStyle w:val="4"/>
        <w:rPr>
          <w:rFonts w:hint="eastAsia"/>
          <w:color w:val="auto"/>
        </w:rPr>
      </w:pPr>
    </w:p>
    <w:p>
      <w:pPr>
        <w:pStyle w:val="7"/>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32"/>
          <w:szCs w:val="32"/>
          <w:highlight w:val="none"/>
        </w:rPr>
      </w:pPr>
      <w:r>
        <w:rPr>
          <w:rFonts w:hint="eastAsia" w:ascii="仿宋" w:hAnsi="仿宋" w:eastAsia="仿宋" w:cs="仿宋_GB2312"/>
          <w:color w:val="auto"/>
          <w:kern w:val="2"/>
          <w:sz w:val="32"/>
          <w:szCs w:val="32"/>
          <w:lang w:val="en-US" w:eastAsia="zh-CN" w:bidi="ar-SA"/>
        </w:rPr>
        <w:t>抄送：</w:t>
      </w:r>
      <w:r>
        <w:rPr>
          <w:rFonts w:hint="eastAsia" w:ascii="仿宋_GB2312" w:hAnsi="仿宋_GB2312" w:eastAsia="仿宋_GB2312" w:cs="仿宋_GB2312"/>
          <w:color w:val="auto"/>
          <w:sz w:val="32"/>
          <w:szCs w:val="32"/>
          <w:highlight w:val="none"/>
          <w:lang w:val="en-US" w:eastAsia="zh-CN"/>
        </w:rPr>
        <w:t>衡山县</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衡阳市生态环境局</w:t>
      </w:r>
      <w:r>
        <w:rPr>
          <w:rFonts w:hint="eastAsia" w:ascii="仿宋_GB2312" w:hAnsi="仿宋_GB2312" w:eastAsia="仿宋_GB2312" w:cs="仿宋_GB2312"/>
          <w:color w:val="auto"/>
          <w:sz w:val="32"/>
          <w:szCs w:val="32"/>
          <w:highlight w:val="none"/>
          <w:lang w:val="en-US" w:eastAsia="zh-CN"/>
        </w:rPr>
        <w:t>衡山</w:t>
      </w:r>
      <w:r>
        <w:rPr>
          <w:rFonts w:hint="eastAsia" w:ascii="仿宋_GB2312" w:hAnsi="仿宋_GB2312" w:eastAsia="仿宋_GB2312" w:cs="仿宋_GB2312"/>
          <w:color w:val="auto"/>
          <w:sz w:val="32"/>
          <w:szCs w:val="32"/>
          <w:highlight w:val="none"/>
        </w:rPr>
        <w:t>分局</w:t>
      </w:r>
    </w:p>
    <w:p>
      <w:pPr>
        <w:pStyle w:val="11"/>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新宋体-18030">
    <w:altName w:val="方正书宋_GBK"/>
    <w:panose1 w:val="00000000000000000000"/>
    <w:charset w:val="00"/>
    <w:family w:val="auto"/>
    <w:pitch w:val="default"/>
    <w:sig w:usb0="00000000" w:usb1="00000000" w:usb2="00000000" w:usb3="00000000" w:csb0="00040001" w:csb1="00000000"/>
  </w:font>
  <w:font w:name="Arial">
    <w:altName w:val="Times New Roman"/>
    <w:panose1 w:val="020B0604020202020204"/>
    <w:charset w:val="00"/>
    <w:family w:val="swiss"/>
    <w:pitch w:val="default"/>
    <w:sig w:usb0="E0002EFF" w:usb1="C000785B" w:usb2="00000009" w:usb3="00000000" w:csb0="400001FF" w:csb1="FFFF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E2FDB0"/>
    <w:multiLevelType w:val="singleLevel"/>
    <w:tmpl w:val="76E2FDB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E6DA6F1"/>
    <w:rsid w:val="089F0BE0"/>
    <w:rsid w:val="0EEA279A"/>
    <w:rsid w:val="12F17F3A"/>
    <w:rsid w:val="132F134D"/>
    <w:rsid w:val="140E2F91"/>
    <w:rsid w:val="1C390CDF"/>
    <w:rsid w:val="1C432D37"/>
    <w:rsid w:val="1F205E7D"/>
    <w:rsid w:val="21F50B43"/>
    <w:rsid w:val="27FD120D"/>
    <w:rsid w:val="2E9A3176"/>
    <w:rsid w:val="30A81D3C"/>
    <w:rsid w:val="3FFD786F"/>
    <w:rsid w:val="41BB080C"/>
    <w:rsid w:val="4DD619DA"/>
    <w:rsid w:val="61453936"/>
    <w:rsid w:val="6F5A4F26"/>
    <w:rsid w:val="6F7D1C14"/>
    <w:rsid w:val="6FFF3AA4"/>
    <w:rsid w:val="7AF39C06"/>
    <w:rsid w:val="7BAFEF5D"/>
    <w:rsid w:val="7BEE7757"/>
    <w:rsid w:val="BE6DA6F1"/>
    <w:rsid w:val="BFFB6CD9"/>
    <w:rsid w:val="E7F92CE9"/>
    <w:rsid w:val="EFF9ADA0"/>
    <w:rsid w:val="F1FA4C91"/>
    <w:rsid w:val="F9FAE04B"/>
    <w:rsid w:val="FCF770B7"/>
    <w:rsid w:val="FCFFE301"/>
    <w:rsid w:val="FF9F66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Style w:val="13"/>
      <w:tblCellMar>
        <w:top w:w="0" w:type="dxa"/>
        <w:left w:w="108" w:type="dxa"/>
        <w:bottom w:w="0" w:type="dxa"/>
        <w:right w:w="108" w:type="dxa"/>
      </w:tblCellMar>
    </w:tblPr>
  </w:style>
  <w:style w:type="paragraph" w:styleId="2">
    <w:name w:val="Normal Indent"/>
    <w:basedOn w:val="1"/>
    <w:next w:val="1"/>
    <w:unhideWhenUsed/>
    <w:qFormat/>
    <w:uiPriority w:val="0"/>
    <w:pPr>
      <w:widowControl w:val="0"/>
      <w:ind w:firstLine="420" w:firstLineChars="200"/>
      <w:jc w:val="both"/>
    </w:pPr>
    <w:rPr>
      <w:rFonts w:ascii="Times New Roman" w:hAnsi="Times New Roman" w:eastAsia="宋体" w:cs="Times New Roman"/>
      <w:kern w:val="0"/>
      <w:sz w:val="21"/>
      <w:szCs w:val="20"/>
      <w:lang w:val="en-US" w:eastAsia="zh-CN" w:bidi="ar-SA"/>
    </w:rPr>
  </w:style>
  <w:style w:type="paragraph" w:styleId="3">
    <w:name w:val="annotation text"/>
    <w:basedOn w:val="1"/>
    <w:uiPriority w:val="0"/>
    <w:pPr>
      <w:jc w:val="left"/>
    </w:pPr>
  </w:style>
  <w:style w:type="paragraph" w:styleId="4">
    <w:name w:val="Body Text"/>
    <w:basedOn w:val="1"/>
    <w:next w:val="5"/>
    <w:qFormat/>
    <w:uiPriority w:val="99"/>
    <w:pPr>
      <w:spacing w:after="120"/>
    </w:pPr>
    <w:rPr>
      <w:sz w:val="22"/>
      <w:szCs w:val="22"/>
    </w:rPr>
  </w:style>
  <w:style w:type="paragraph" w:customStyle="1" w:styleId="5">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6">
    <w:name w:val="Body Text Indent"/>
    <w:basedOn w:val="1"/>
    <w:next w:val="7"/>
    <w:qFormat/>
    <w:uiPriority w:val="0"/>
    <w:pPr>
      <w:spacing w:after="120"/>
      <w:ind w:left="420" w:leftChars="200"/>
    </w:pPr>
  </w:style>
  <w:style w:type="paragraph" w:styleId="7">
    <w:name w:val="Body Text First Indent 2"/>
    <w:basedOn w:val="6"/>
    <w:next w:val="1"/>
    <w:qFormat/>
    <w:uiPriority w:val="0"/>
    <w:pPr>
      <w:widowControl w:val="0"/>
      <w:spacing w:after="0"/>
      <w:ind w:left="0" w:leftChars="0"/>
      <w:jc w:val="both"/>
    </w:pPr>
    <w:rPr>
      <w:rFonts w:ascii="Times New Roman" w:hAnsi="Times New Roman" w:eastAsia="宋体" w:cs="Times New Roman"/>
      <w:kern w:val="0"/>
      <w:sz w:val="21"/>
      <w:szCs w:val="20"/>
      <w:lang w:val="en-US" w:eastAsia="zh-CN" w:bidi="ar-SA"/>
    </w:rPr>
  </w:style>
  <w:style w:type="paragraph" w:styleId="8">
    <w:name w:val="Block Text"/>
    <w:basedOn w:val="1"/>
    <w:next w:val="1"/>
    <w:qFormat/>
    <w:uiPriority w:val="0"/>
    <w:pPr>
      <w:spacing w:line="500" w:lineRule="exact"/>
      <w:ind w:left="-42" w:leftChars="-20" w:right="-42" w:rightChars="-20"/>
      <w:jc w:val="center"/>
    </w:pPr>
    <w:rPr>
      <w:rFonts w:ascii="Times New Roman"/>
      <w:sz w:val="24"/>
      <w:szCs w:val="24"/>
    </w:rPr>
  </w:style>
  <w:style w:type="paragraph" w:styleId="9">
    <w:name w:val="Body Text Indent 2"/>
    <w:basedOn w:val="1"/>
    <w:qFormat/>
    <w:uiPriority w:val="0"/>
    <w:pPr>
      <w:spacing w:after="120" w:line="480" w:lineRule="auto"/>
      <w:ind w:left="420" w:leftChars="200"/>
    </w:pPr>
    <w:rPr>
      <w:rFonts w:eastAsia="宋体"/>
      <w:kern w:val="2"/>
      <w:sz w:val="21"/>
      <w:szCs w:val="21"/>
    </w:rPr>
  </w:style>
  <w:style w:type="paragraph" w:styleId="10">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w:basedOn w:val="4"/>
    <w:next w:val="1"/>
    <w:qFormat/>
    <w:uiPriority w:val="0"/>
    <w:pPr>
      <w:spacing w:after="120"/>
      <w:ind w:firstLine="420" w:firstLineChars="100"/>
    </w:pPr>
    <w:rPr>
      <w:sz w:val="21"/>
    </w:rPr>
  </w:style>
  <w:style w:type="character" w:styleId="15">
    <w:name w:val="Hyperlink"/>
    <w:basedOn w:val="14"/>
    <w:uiPriority w:val="0"/>
    <w:rPr>
      <w:color w:val="0000FF"/>
      <w:u w:val="single"/>
    </w:rPr>
  </w:style>
  <w:style w:type="paragraph" w:customStyle="1" w:styleId="16">
    <w:name w:val="正文首行"/>
    <w:basedOn w:val="2"/>
    <w:qFormat/>
    <w:uiPriority w:val="0"/>
    <w:pPr>
      <w:spacing w:line="440" w:lineRule="exact"/>
      <w:ind w:firstLine="361" w:firstLineChars="200"/>
    </w:pPr>
    <w:rPr>
      <w:rFonts w:ascii="Times New Roman" w:hAnsi="Times New Roman"/>
      <w:sz w:val="24"/>
    </w:rPr>
  </w:style>
  <w:style w:type="character" w:customStyle="1" w:styleId="17">
    <w:name w:val="NormalCharacter"/>
    <w:semiHidden/>
    <w:qFormat/>
    <w:uiPriority w:val="0"/>
    <w:rPr>
      <w:kern w:val="2"/>
      <w:sz w:val="21"/>
      <w:szCs w:val="24"/>
      <w:lang w:val="en-US" w:eastAsia="zh-CN" w:bidi="ar-SA"/>
    </w:rPr>
  </w:style>
  <w:style w:type="paragraph" w:customStyle="1" w:styleId="18">
    <w:name w:val="图表标题"/>
    <w:basedOn w:val="2"/>
    <w:uiPriority w:val="0"/>
    <w:pPr>
      <w:spacing w:before="120" w:after="120"/>
      <w:jc w:val="center"/>
    </w:pPr>
    <w:rPr>
      <w:rFonts w:ascii="Arial" w:hAnsi="Arial" w:eastAsia="黑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3291</Words>
  <Characters>3465</Characters>
  <Lines>0</Lines>
  <Paragraphs>0</Paragraphs>
  <TotalTime>95</TotalTime>
  <ScaleCrop>false</ScaleCrop>
  <LinksUpToDate>false</LinksUpToDate>
  <CharactersWithSpaces>3482</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2026-06-02T00:36:00Z</dcterms:created>
  <dc:creator>kylin</dc:creator>
  <cp:lastModifiedBy>kylin</cp:lastModifiedBy>
  <cp:lastPrinted>2026-06-11T01:41:27Z</cp:lastPrinted>
  <dcterms:modified xsi:type="dcterms:W3CDTF">2026-06-16T16:49:09Z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KSOTemplateDocerSaveRecord">
    <vt:lpwstr>eyJoZGlkIjoiM2VkZWFkZTIyZWFiY2YwNWJiMzc4YjQ0MmRlNWZjMzEiLCJ1c2VySWQiOiIyNTE0Nzg1ODkifQ==</vt:lpwstr>
  </property>
  <property fmtid="{D5CDD505-2E9C-101B-9397-08002B2CF9AE}" pid="4" name="ICV">
    <vt:lpwstr>3130B04762764E2394689E70C27DB9CA_13</vt:lpwstr>
  </property>
</Properties>
</file>