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7" w:line="595" w:lineRule="exact"/>
        <w:ind w:left="27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spacing w:val="3"/>
          <w:position w:val="2"/>
          <w:sz w:val="44"/>
          <w:szCs w:val="44"/>
        </w:rPr>
      </w:pPr>
    </w:p>
    <w:p>
      <w:pPr>
        <w:spacing w:before="217" w:line="595" w:lineRule="exact"/>
        <w:ind w:left="27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spacing w:val="3"/>
          <w:position w:val="2"/>
          <w:sz w:val="44"/>
          <w:szCs w:val="44"/>
        </w:rPr>
      </w:pPr>
    </w:p>
    <w:p>
      <w:pPr>
        <w:spacing w:before="217" w:line="595" w:lineRule="exact"/>
        <w:ind w:left="27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3"/>
          <w:position w:val="2"/>
          <w:sz w:val="44"/>
          <w:szCs w:val="44"/>
        </w:rPr>
        <w:t>衡阳市应急管理局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111"/>
          <w:position w:val="2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3"/>
          <w:position w:val="2"/>
          <w:sz w:val="44"/>
          <w:szCs w:val="44"/>
          <w:lang w:val="en"/>
        </w:rPr>
        <w:t>2025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115"/>
          <w:position w:val="2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3"/>
          <w:position w:val="2"/>
          <w:sz w:val="44"/>
          <w:szCs w:val="44"/>
        </w:rPr>
        <w:t>年度行政执法统计年报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both"/>
        <w:textAlignment w:val="baseline"/>
        <w:outlineLvl w:val="1"/>
        <w:rPr>
          <w:rFonts w:ascii="SimHei" w:hAnsi="SimHei" w:eastAsia="SimHei" w:cs="SimHei"/>
          <w:spacing w:val="7"/>
          <w:sz w:val="31"/>
          <w:szCs w:val="31"/>
        </w:rPr>
      </w:pPr>
    </w:p>
    <w:p>
      <w:pPr>
        <w:rPr>
          <w:rFonts w:hint="eastAsia" w:ascii="SimHei" w:hAnsi="SimHei" w:eastAsia="SimHei" w:cs="SimHei"/>
          <w:spacing w:val="7"/>
          <w:sz w:val="31"/>
          <w:szCs w:val="31"/>
          <w:lang w:eastAsia="zh-CN"/>
        </w:rPr>
      </w:pPr>
    </w:p>
    <w:p>
      <w:pPr>
        <w:rPr>
          <w:rFonts w:hint="eastAsia" w:ascii="SimHei" w:hAnsi="SimHei" w:eastAsia="SimHei" w:cs="SimHei"/>
          <w:spacing w:val="7"/>
          <w:sz w:val="31"/>
          <w:szCs w:val="31"/>
          <w:lang w:eastAsia="zh-CN"/>
        </w:rPr>
      </w:pPr>
      <w:r>
        <w:rPr>
          <w:rFonts w:hint="eastAsia" w:ascii="SimHei" w:hAnsi="SimHei" w:eastAsia="SimHei" w:cs="SimHei"/>
          <w:spacing w:val="7"/>
          <w:sz w:val="31"/>
          <w:szCs w:val="31"/>
          <w:lang w:eastAsia="zh-CN"/>
        </w:rPr>
        <w:t>目录</w:t>
      </w:r>
    </w:p>
    <w:p>
      <w:pPr>
        <w:rPr>
          <w:rFonts w:hint="eastAsia" w:ascii="SimHei" w:hAnsi="SimHei" w:eastAsia="SimHei" w:cs="SimHei"/>
          <w:spacing w:val="7"/>
          <w:sz w:val="31"/>
          <w:szCs w:val="31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</w:pPr>
      <w:r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  <w:t>衡阳市应急管理局2025年行政执法数据表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  <w:t>行政处罚实施情况统计表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  <w:t>行政许可实施情况统计表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  <w:t>行政强制实施情况统计表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pacing w:val="7"/>
          <w:sz w:val="32"/>
          <w:szCs w:val="32"/>
          <w:lang w:val="en-US" w:eastAsia="zh-CN"/>
        </w:rPr>
        <w:t>其他行政执法行为实施情况统计表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</w:pPr>
      <w:r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  <w:t>第二部分  衡阳市应急管理局2025年度行政执法总体情况</w:t>
      </w:r>
    </w:p>
    <w:p>
      <w:pPr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</w:pPr>
      <w:r>
        <w:rPr>
          <w:rFonts w:hint="eastAsia" w:ascii="SimHei" w:hAnsi="SimHei" w:eastAsia="SimHei" w:cs="SimHei"/>
          <w:spacing w:val="7"/>
          <w:sz w:val="31"/>
          <w:szCs w:val="31"/>
          <w:lang w:val="en-US" w:eastAsia="zh-CN"/>
        </w:rPr>
        <w:br w:type="page"/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outlineLvl w:val="1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7"/>
          <w:sz w:val="32"/>
          <w:szCs w:val="32"/>
        </w:rPr>
        <w:t>第一部分 衡阳市应急管理局</w:t>
      </w:r>
      <w:r>
        <w:rPr>
          <w:rFonts w:hint="eastAsia" w:ascii="黑体" w:hAnsi="黑体" w:eastAsia="黑体" w:cs="黑体"/>
          <w:spacing w:val="-5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7"/>
          <w:sz w:val="32"/>
          <w:szCs w:val="32"/>
          <w:lang w:val="en"/>
        </w:rPr>
        <w:t>2025</w:t>
      </w:r>
      <w:r>
        <w:rPr>
          <w:rFonts w:hint="eastAsia" w:ascii="黑体" w:hAnsi="黑体" w:eastAsia="黑体" w:cs="黑体"/>
          <w:spacing w:val="-61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7"/>
          <w:sz w:val="32"/>
          <w:szCs w:val="32"/>
        </w:rPr>
        <w:t>年度行政执法数据表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/>
        <w:jc w:val="both"/>
        <w:textAlignment w:val="baseline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15"/>
          <w:sz w:val="32"/>
          <w:szCs w:val="32"/>
        </w:rPr>
        <w:t>表一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/>
        <w:jc w:val="center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衡阳市应急管理局</w:t>
      </w:r>
      <w:r>
        <w:rPr>
          <w:rFonts w:hint="eastAsia" w:ascii="仿宋_GB2312" w:hAnsi="仿宋_GB2312" w:eastAsia="仿宋_GB2312" w:cs="仿宋_GB2312"/>
          <w:spacing w:val="-48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"/>
        </w:rPr>
        <w:t>2025</w:t>
      </w:r>
      <w:r>
        <w:rPr>
          <w:rFonts w:hint="eastAsia" w:ascii="仿宋_GB2312" w:hAnsi="仿宋_GB2312" w:eastAsia="仿宋_GB2312" w:cs="仿宋_GB2312"/>
          <w:spacing w:val="-5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年度行政处罚实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施情况统计表</w:t>
      </w:r>
    </w:p>
    <w:p>
      <w:pPr>
        <w:spacing w:line="98" w:lineRule="exact"/>
      </w:pPr>
    </w:p>
    <w:tbl>
      <w:tblPr>
        <w:tblStyle w:val="9"/>
        <w:tblW w:w="1351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2"/>
        <w:gridCol w:w="1005"/>
        <w:gridCol w:w="1425"/>
        <w:gridCol w:w="1295"/>
        <w:gridCol w:w="1169"/>
        <w:gridCol w:w="1479"/>
        <w:gridCol w:w="1626"/>
        <w:gridCol w:w="811"/>
        <w:gridCol w:w="933"/>
        <w:gridCol w:w="1099"/>
        <w:gridCol w:w="154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13514" w:type="dxa"/>
            <w:gridSpan w:val="11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135" w:left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" w:eastAsia="zh-CN" w:bidi="ar-SA"/>
              </w:rPr>
              <w:t>行政处罚实施数量（宗）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1132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警告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、通报批评</w:t>
            </w:r>
          </w:p>
        </w:tc>
        <w:tc>
          <w:tcPr>
            <w:tcW w:w="1005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罚款</w:t>
            </w:r>
          </w:p>
        </w:tc>
        <w:tc>
          <w:tcPr>
            <w:tcW w:w="1425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没收违法所得、没收非法财物</w:t>
            </w:r>
          </w:p>
        </w:tc>
        <w:tc>
          <w:tcPr>
            <w:tcW w:w="1295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暂扣许可证、执照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，降低资质等级</w:t>
            </w:r>
          </w:p>
        </w:tc>
        <w:tc>
          <w:tcPr>
            <w:tcW w:w="1169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吊销许可证、执照</w:t>
            </w:r>
          </w:p>
        </w:tc>
        <w:tc>
          <w:tcPr>
            <w:tcW w:w="1479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限制开展生产经营活动</w:t>
            </w:r>
          </w:p>
        </w:tc>
        <w:tc>
          <w:tcPr>
            <w:tcW w:w="1626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责令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停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产停业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、责令关闭、限制从业</w:t>
            </w:r>
          </w:p>
        </w:tc>
        <w:tc>
          <w:tcPr>
            <w:tcW w:w="811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拘留</w:t>
            </w:r>
          </w:p>
        </w:tc>
        <w:tc>
          <w:tcPr>
            <w:tcW w:w="933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其他行政处罚</w:t>
            </w:r>
          </w:p>
        </w:tc>
        <w:tc>
          <w:tcPr>
            <w:tcW w:w="1099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合计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eastAsia="zh-CN"/>
              </w:rPr>
              <w:t>（宗）</w:t>
            </w:r>
          </w:p>
        </w:tc>
        <w:tc>
          <w:tcPr>
            <w:tcW w:w="1540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0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24"/>
                <w:szCs w:val="24"/>
                <w:lang w:val="en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罚没金额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（万元）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470" w:leftChars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424" w:leftChars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456" w:leftChars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135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63</w:t>
            </w:r>
          </w:p>
        </w:tc>
        <w:tc>
          <w:tcPr>
            <w:tcW w:w="0" w:type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ind w:left="135" w:lef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"/>
              </w:rPr>
              <w:t>504.4937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right="0" w:firstLine="644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 w:themeColor="text1"/>
          <w:spacing w:val="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1"/>
          <w:sz w:val="32"/>
          <w:szCs w:val="32"/>
          <w14:textFill>
            <w14:solidFill>
              <w14:schemeClr w14:val="tx1"/>
            </w14:solidFill>
          </w14:textFill>
        </w:rPr>
        <w:t>说明：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行政处罚实施数量的统计范围为统计年度1月1日至12月31日期间作出行政处罚决定的数量。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单处一个类别行政处罚的，计入相应的行政处罚类别；并处两种以上行政处罚的，算一宗行政处罚，计入最重的行政处罚类别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如“没收违法所得，并处罚款”，计入“没收违法所得、没收非法财物”类别；并处明确类别的行政处罚和其他行政处罚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-17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的，计入明确类别的行政处罚，如“处罚款，并处其他行政处罚”，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计入“罚款”类别。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3.“没收违法所得、没收非法财物”能确定金额的，计入“罚没金额”；不能确定金额的，不计入“罚没金额”。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4.“罚没金额”以处罚决定书确定的金额为准。</w:t>
      </w:r>
    </w:p>
    <w:p>
      <w:pPr>
        <w:rPr>
          <w:rFonts w:hint="eastAsia" w:ascii="仿宋_GB2312" w:hAnsi="仿宋_GB2312" w:eastAsia="仿宋_GB2312" w:cs="仿宋_GB2312"/>
          <w:b/>
          <w:bCs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page"/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right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b/>
          <w:bCs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表二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right="0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衡阳市应急管理局 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:lang w:val="e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仿宋_GB2312" w:eastAsia="仿宋_GB2312" w:cs="仿宋_GB2312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 年度行政许可实施情况统计表</w:t>
      </w:r>
    </w:p>
    <w:p>
      <w:pPr>
        <w:spacing w:line="98" w:lineRule="exact"/>
      </w:pPr>
    </w:p>
    <w:tbl>
      <w:tblPr>
        <w:tblStyle w:val="9"/>
        <w:tblW w:w="1288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4"/>
        <w:gridCol w:w="2397"/>
        <w:gridCol w:w="3265"/>
        <w:gridCol w:w="2397"/>
        <w:gridCol w:w="241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12880" w:type="dxa"/>
            <w:gridSpan w:val="5"/>
            <w:vAlign w:val="center"/>
          </w:tcPr>
          <w:p>
            <w:pPr>
              <w:pStyle w:val="10"/>
              <w:spacing w:before="88" w:line="216" w:lineRule="auto"/>
              <w:ind w:left="116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行政许可实施数量（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6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宗）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2404" w:type="dxa"/>
            <w:vAlign w:val="top"/>
          </w:tcPr>
          <w:p>
            <w:pPr>
              <w:pStyle w:val="10"/>
              <w:spacing w:before="282" w:line="215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2"/>
                <w:sz w:val="24"/>
                <w:szCs w:val="24"/>
              </w:rPr>
              <w:t>申请数量</w:t>
            </w:r>
          </w:p>
        </w:tc>
        <w:tc>
          <w:tcPr>
            <w:tcW w:w="2397" w:type="dxa"/>
            <w:vAlign w:val="top"/>
          </w:tcPr>
          <w:p>
            <w:pPr>
              <w:pStyle w:val="10"/>
              <w:spacing w:before="282" w:line="218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受理数量</w:t>
            </w:r>
          </w:p>
        </w:tc>
        <w:tc>
          <w:tcPr>
            <w:tcW w:w="3265" w:type="dxa"/>
            <w:vAlign w:val="top"/>
          </w:tcPr>
          <w:p>
            <w:pPr>
              <w:pStyle w:val="10"/>
              <w:spacing w:before="282" w:line="217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许可数量</w:t>
            </w:r>
          </w:p>
        </w:tc>
        <w:tc>
          <w:tcPr>
            <w:tcW w:w="2397" w:type="dxa"/>
            <w:vAlign w:val="top"/>
          </w:tcPr>
          <w:p>
            <w:pPr>
              <w:pStyle w:val="10"/>
              <w:spacing w:before="282" w:line="217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不予许可数量</w:t>
            </w:r>
          </w:p>
        </w:tc>
        <w:tc>
          <w:tcPr>
            <w:tcW w:w="2417" w:type="dxa"/>
            <w:vAlign w:val="top"/>
          </w:tcPr>
          <w:p>
            <w:pPr>
              <w:pStyle w:val="10"/>
              <w:spacing w:before="282" w:line="217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撤销许可数量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  <w:jc w:val="center"/>
        </w:trPr>
        <w:tc>
          <w:tcPr>
            <w:tcW w:w="2404" w:type="dxa"/>
            <w:vAlign w:val="center"/>
          </w:tcPr>
          <w:p>
            <w:pPr>
              <w:pStyle w:val="10"/>
              <w:spacing w:before="94" w:line="236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452</w:t>
            </w:r>
          </w:p>
        </w:tc>
        <w:tc>
          <w:tcPr>
            <w:tcW w:w="2397" w:type="dxa"/>
            <w:vAlign w:val="center"/>
          </w:tcPr>
          <w:p>
            <w:pPr>
              <w:pStyle w:val="10"/>
              <w:spacing w:before="94" w:line="236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452</w:t>
            </w:r>
          </w:p>
        </w:tc>
        <w:tc>
          <w:tcPr>
            <w:tcW w:w="3265" w:type="dxa"/>
            <w:vAlign w:val="center"/>
          </w:tcPr>
          <w:p>
            <w:pPr>
              <w:pStyle w:val="10"/>
              <w:spacing w:before="94" w:line="236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450</w:t>
            </w:r>
          </w:p>
        </w:tc>
        <w:tc>
          <w:tcPr>
            <w:tcW w:w="2397" w:type="dxa"/>
            <w:vAlign w:val="center"/>
          </w:tcPr>
          <w:p>
            <w:pPr>
              <w:pStyle w:val="10"/>
              <w:spacing w:before="94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17" w:type="dxa"/>
            <w:vAlign w:val="center"/>
          </w:tcPr>
          <w:p>
            <w:pPr>
              <w:pStyle w:val="10"/>
              <w:spacing w:before="94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right="0" w:firstLine="644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 w:themeColor="text1"/>
          <w:spacing w:val="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1"/>
          <w:sz w:val="32"/>
          <w:szCs w:val="32"/>
          <w14:textFill>
            <w14:solidFill>
              <w14:schemeClr w14:val="tx1"/>
            </w14:solidFill>
          </w14:textFill>
        </w:rPr>
        <w:t>说明：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1.“申请数量”的统计范围为统计年度1月1日至12月31日期间许可机关收到当事人许可申请的数量。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2.“受理数量”、“许可数量”、“不予许可数量”、“撤销许可数量”的统计范围为统计年度1月1日至12月31日期间许可机关作出受理决定、许可决定、不予许可决定和撤销许可决定的数量。</w:t>
      </w:r>
    </w:p>
    <w:p>
      <w:pPr>
        <w:spacing w:line="252" w:lineRule="auto"/>
        <w:rPr>
          <w:rFonts w:ascii="Arial"/>
          <w:sz w:val="21"/>
        </w:rPr>
      </w:pPr>
    </w:p>
    <w:p>
      <w:pP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page"/>
      </w:r>
    </w:p>
    <w:p>
      <w:pPr>
        <w:pStyle w:val="2"/>
        <w:spacing w:before="102" w:line="225" w:lineRule="auto"/>
        <w:ind w:left="30"/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表三</w:t>
      </w:r>
    </w:p>
    <w:p>
      <w:pPr>
        <w:pStyle w:val="2"/>
        <w:spacing w:before="152" w:line="221" w:lineRule="auto"/>
        <w:jc w:val="center"/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衡阳市应急管理局 </w:t>
      </w: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" w:eastAsia="zh-CN" w:bidi="ar"/>
        </w:rPr>
        <w:t>2025</w:t>
      </w: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年度行政强制实施情况统计表</w:t>
      </w:r>
    </w:p>
    <w:p>
      <w:pPr>
        <w:spacing w:line="56" w:lineRule="auto"/>
        <w:rPr>
          <w:rFonts w:ascii="Arial"/>
          <w:sz w:val="2"/>
        </w:rPr>
      </w:pPr>
    </w:p>
    <w:tbl>
      <w:tblPr>
        <w:tblStyle w:val="9"/>
        <w:tblW w:w="1373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1169"/>
        <w:gridCol w:w="1206"/>
        <w:gridCol w:w="1140"/>
        <w:gridCol w:w="1148"/>
        <w:gridCol w:w="1066"/>
        <w:gridCol w:w="1312"/>
        <w:gridCol w:w="1196"/>
        <w:gridCol w:w="1175"/>
        <w:gridCol w:w="870"/>
        <w:gridCol w:w="1061"/>
        <w:gridCol w:w="106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4850" w:type="dxa"/>
            <w:gridSpan w:val="4"/>
            <w:vAlign w:val="top"/>
          </w:tcPr>
          <w:p>
            <w:pPr>
              <w:pStyle w:val="10"/>
              <w:spacing w:before="74" w:line="216" w:lineRule="auto"/>
              <w:ind w:left="26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行政强制措施实施数量（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宗）</w:t>
            </w:r>
          </w:p>
        </w:tc>
        <w:tc>
          <w:tcPr>
            <w:tcW w:w="7828" w:type="dxa"/>
            <w:gridSpan w:val="7"/>
            <w:vAlign w:val="top"/>
          </w:tcPr>
          <w:p>
            <w:pPr>
              <w:pStyle w:val="10"/>
              <w:spacing w:before="74" w:line="216" w:lineRule="auto"/>
              <w:ind w:left="1375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行政强制执行实施数量（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宗）</w:t>
            </w:r>
          </w:p>
        </w:tc>
        <w:tc>
          <w:tcPr>
            <w:tcW w:w="1060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spacing w:before="78" w:line="217" w:lineRule="auto"/>
              <w:ind w:left="167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合计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1335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查封场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所、设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施或者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财物</w:t>
            </w:r>
          </w:p>
        </w:tc>
        <w:tc>
          <w:tcPr>
            <w:tcW w:w="1169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扣押财物</w:t>
            </w:r>
          </w:p>
        </w:tc>
        <w:tc>
          <w:tcPr>
            <w:tcW w:w="1206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冻结存款、汇款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40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6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其他行政强制措施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767" w:type="dxa"/>
            <w:gridSpan w:val="6"/>
            <w:vAlign w:val="top"/>
          </w:tcPr>
          <w:p>
            <w:pPr>
              <w:pStyle w:val="10"/>
              <w:spacing w:before="69" w:line="21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行政机关强制执行</w:t>
            </w:r>
          </w:p>
        </w:tc>
        <w:tc>
          <w:tcPr>
            <w:tcW w:w="1061" w:type="dxa"/>
            <w:vMerge w:val="restart"/>
            <w:tcBorders>
              <w:bottom w:val="nil"/>
            </w:tcBorders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8"/>
                <w:sz w:val="24"/>
                <w:szCs w:val="24"/>
                <w:lang w:eastAsia="zh-CN"/>
              </w:rPr>
              <w:t>申请法院强制执行</w:t>
            </w:r>
          </w:p>
        </w:tc>
        <w:tc>
          <w:tcPr>
            <w:tcW w:w="10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1" w:hRule="atLeast"/>
          <w:jc w:val="center"/>
        </w:trPr>
        <w:tc>
          <w:tcPr>
            <w:tcW w:w="13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6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20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3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加处罚款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8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或者滞纳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3" w:lineRule="auto"/>
              <w:ind w:right="0"/>
              <w:jc w:val="both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金</w:t>
            </w:r>
          </w:p>
        </w:tc>
        <w:tc>
          <w:tcPr>
            <w:tcW w:w="1066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8" w:lineRule="auto"/>
              <w:ind w:left="0" w:right="0" w:firstLine="0"/>
              <w:jc w:val="left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划拨存款、汇款</w:t>
            </w:r>
          </w:p>
        </w:tc>
        <w:tc>
          <w:tcPr>
            <w:tcW w:w="1312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拍卖或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8" w:lineRule="auto"/>
              <w:ind w:left="0" w:right="0" w:firstLine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者</w:t>
            </w:r>
            <w:r>
              <w:rPr>
                <w:rFonts w:hint="default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" w:eastAsia="zh-CN" w:bidi="ar-SA"/>
              </w:rPr>
              <w:t>依法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处理查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封、扣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押的场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center"/>
              <w:textAlignment w:val="baseline"/>
              <w:rPr>
                <w:rFonts w:hint="default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所、</w:t>
            </w:r>
            <w:r>
              <w:rPr>
                <w:rFonts w:hint="default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" w:eastAsia="zh-CN" w:bidi="ar-SA"/>
              </w:rPr>
              <w:t>设施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1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或者财物</w:t>
            </w:r>
          </w:p>
        </w:tc>
        <w:tc>
          <w:tcPr>
            <w:tcW w:w="1196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排除妨碍、恢复原状</w:t>
            </w:r>
          </w:p>
        </w:tc>
        <w:tc>
          <w:tcPr>
            <w:tcW w:w="1175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1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代履行</w:t>
            </w:r>
          </w:p>
        </w:tc>
        <w:tc>
          <w:tcPr>
            <w:tcW w:w="870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auto"/>
                <w:spacing w:val="-8"/>
                <w:kern w:val="0"/>
                <w:sz w:val="24"/>
                <w:szCs w:val="24"/>
                <w:lang w:val="en-US" w:eastAsia="zh-CN" w:bidi="ar-SA"/>
              </w:rPr>
              <w:t>其他强制执行</w:t>
            </w:r>
          </w:p>
        </w:tc>
        <w:tc>
          <w:tcPr>
            <w:tcW w:w="106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06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35" w:type="dxa"/>
            <w:vAlign w:val="top"/>
          </w:tcPr>
          <w:p>
            <w:pPr>
              <w:pStyle w:val="10"/>
              <w:spacing w:before="87" w:line="237" w:lineRule="auto"/>
              <w:ind w:left="45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69" w:type="dxa"/>
            <w:vAlign w:val="top"/>
          </w:tcPr>
          <w:p>
            <w:pPr>
              <w:pStyle w:val="10"/>
              <w:spacing w:before="87" w:line="237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06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40" w:type="dxa"/>
            <w:vAlign w:val="top"/>
          </w:tcPr>
          <w:p>
            <w:pPr>
              <w:pStyle w:val="10"/>
              <w:spacing w:before="87" w:line="236" w:lineRule="auto"/>
              <w:ind w:left="386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48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066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312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96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75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870" w:type="dxa"/>
            <w:vAlign w:val="top"/>
          </w:tcPr>
          <w:p>
            <w:pPr>
              <w:pStyle w:val="10"/>
              <w:spacing w:before="87" w:line="236" w:lineRule="auto"/>
              <w:ind w:left="382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061" w:type="dxa"/>
            <w:vAlign w:val="top"/>
          </w:tcPr>
          <w:p>
            <w:pPr>
              <w:pStyle w:val="10"/>
              <w:spacing w:before="87" w:line="237" w:lineRule="auto"/>
              <w:ind w:left="36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60" w:type="dxa"/>
            <w:vAlign w:val="top"/>
          </w:tcPr>
          <w:p>
            <w:pPr>
              <w:pStyle w:val="10"/>
              <w:spacing w:before="87" w:line="236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</w:tr>
    </w:tbl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说明：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1.“行政强制措施实施数量”的统计范围为统计年度1月1日至12月31日期间作出“查封场所、设施或者财物”、“扣押财物”、“冻结存款、汇款”或者“其他行政强制措施”决定的数量。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2.“行政强制执行实施数量” 的统计范围为统计年度1月1日至12月31日期间“加处罚款或者滞纳金”、“划拨存款、汇款”、“拍卖或者依法处理查封、扣押的场所、设施或者财物”、“排除妨碍、恢复原状”、“代履行”和“其他强制执行”等执行完毕或者终结执行的数量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2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3.“申请法院强制执行”数量的统计范围为统计年度1月1日至12月31日期间向法院申请强制执行的数量，时间以申请日期为准。</w:t>
      </w:r>
    </w:p>
    <w:p>
      <w:pPr>
        <w:spacing w:line="448" w:lineRule="auto"/>
        <w:rPr>
          <w:rFonts w:ascii="Arial"/>
          <w:sz w:val="21"/>
        </w:rPr>
      </w:pPr>
    </w:p>
    <w:p>
      <w:pP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page"/>
      </w:r>
    </w:p>
    <w:p>
      <w:pPr>
        <w:pStyle w:val="2"/>
        <w:spacing w:before="101" w:line="225" w:lineRule="auto"/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表四</w:t>
      </w:r>
    </w:p>
    <w:p>
      <w:pPr>
        <w:pStyle w:val="2"/>
        <w:spacing w:before="152" w:line="221" w:lineRule="auto"/>
        <w:jc w:val="center"/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衡阳市应急管理局 </w:t>
      </w: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" w:eastAsia="zh-CN" w:bidi="ar"/>
        </w:rPr>
        <w:t>2025</w:t>
      </w:r>
      <w:r>
        <w:rPr>
          <w:rFonts w:hint="eastAsia" w:ascii="仿宋_GB2312" w:hAnsi="仿宋_GB2312" w:eastAsia="仿宋_GB2312" w:cs="仿宋_GB2312"/>
          <w:caps w:val="0"/>
          <w:snapToGrid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年度其他行政执法行为实施情况统计表</w:t>
      </w:r>
    </w:p>
    <w:p>
      <w:pPr>
        <w:spacing w:line="56" w:lineRule="auto"/>
        <w:rPr>
          <w:rFonts w:ascii="Arial"/>
          <w:sz w:val="2"/>
        </w:rPr>
      </w:pPr>
    </w:p>
    <w:tbl>
      <w:tblPr>
        <w:tblStyle w:val="9"/>
        <w:tblW w:w="1267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1"/>
        <w:gridCol w:w="1131"/>
        <w:gridCol w:w="820"/>
        <w:gridCol w:w="1226"/>
        <w:gridCol w:w="978"/>
        <w:gridCol w:w="1338"/>
        <w:gridCol w:w="1374"/>
        <w:gridCol w:w="703"/>
        <w:gridCol w:w="1208"/>
        <w:gridCol w:w="1264"/>
        <w:gridCol w:w="175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  <w:jc w:val="center"/>
        </w:trPr>
        <w:tc>
          <w:tcPr>
            <w:tcW w:w="2012" w:type="dxa"/>
            <w:gridSpan w:val="2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行政征收</w:t>
            </w:r>
          </w:p>
        </w:tc>
        <w:tc>
          <w:tcPr>
            <w:tcW w:w="2046" w:type="dxa"/>
            <w:gridSpan w:val="2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行政裁决</w:t>
            </w:r>
          </w:p>
        </w:tc>
        <w:tc>
          <w:tcPr>
            <w:tcW w:w="2316" w:type="dxa"/>
            <w:gridSpan w:val="2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行政给付</w:t>
            </w:r>
          </w:p>
        </w:tc>
        <w:tc>
          <w:tcPr>
            <w:tcW w:w="137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行政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确认</w:t>
            </w:r>
          </w:p>
        </w:tc>
        <w:tc>
          <w:tcPr>
            <w:tcW w:w="1911" w:type="dxa"/>
            <w:gridSpan w:val="2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行政奖励</w:t>
            </w:r>
          </w:p>
        </w:tc>
        <w:tc>
          <w:tcPr>
            <w:tcW w:w="126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  <w:lang w:eastAsia="zh-CN"/>
              </w:rPr>
              <w:t>行政检查</w:t>
            </w:r>
          </w:p>
        </w:tc>
        <w:tc>
          <w:tcPr>
            <w:tcW w:w="175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其他行政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8"/>
                <w:sz w:val="24"/>
                <w:szCs w:val="24"/>
              </w:rPr>
              <w:t>执法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行为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  <w:jc w:val="center"/>
        </w:trPr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  <w:lang w:eastAsia="zh-CN"/>
              </w:rPr>
              <w:t>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数</w:t>
            </w:r>
          </w:p>
        </w:tc>
        <w:tc>
          <w:tcPr>
            <w:tcW w:w="1131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金额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7"/>
                <w:sz w:val="24"/>
                <w:szCs w:val="24"/>
              </w:rPr>
              <w:t>万元）</w:t>
            </w:r>
          </w:p>
        </w:tc>
        <w:tc>
          <w:tcPr>
            <w:tcW w:w="8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  <w:lang w:eastAsia="zh-CN"/>
              </w:rPr>
              <w:t>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数</w:t>
            </w:r>
          </w:p>
        </w:tc>
        <w:tc>
          <w:tcPr>
            <w:tcW w:w="1226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金额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7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3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7"/>
                <w:sz w:val="24"/>
                <w:szCs w:val="24"/>
              </w:rPr>
              <w:t>万元）</w:t>
            </w:r>
          </w:p>
        </w:tc>
        <w:tc>
          <w:tcPr>
            <w:tcW w:w="9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  <w:lang w:eastAsia="zh-CN"/>
              </w:rPr>
              <w:t>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数</w:t>
            </w:r>
          </w:p>
        </w:tc>
        <w:tc>
          <w:tcPr>
            <w:tcW w:w="133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金额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pacing w:val="-6"/>
                <w:sz w:val="24"/>
                <w:szCs w:val="24"/>
                <w:lang w:val="en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7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3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7"/>
                <w:sz w:val="24"/>
                <w:szCs w:val="24"/>
              </w:rPr>
              <w:t>万元）</w:t>
            </w: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  <w:lang w:eastAsia="zh-CN"/>
              </w:rPr>
              <w:t>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数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  <w:lang w:eastAsia="zh-CN"/>
              </w:rPr>
              <w:t>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数</w:t>
            </w:r>
          </w:p>
        </w:tc>
        <w:tc>
          <w:tcPr>
            <w:tcW w:w="120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金额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9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9"/>
                <w:sz w:val="24"/>
                <w:szCs w:val="24"/>
              </w:rPr>
              <w:t>万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4"/>
                <w:szCs w:val="24"/>
              </w:rPr>
              <w:t>元）</w:t>
            </w: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  <w:lang w:eastAsia="zh-CN"/>
              </w:rPr>
              <w:t>次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数</w:t>
            </w:r>
          </w:p>
        </w:tc>
        <w:tc>
          <w:tcPr>
            <w:tcW w:w="17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881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1131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820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1226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97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133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137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  <w:tc>
          <w:tcPr>
            <w:tcW w:w="703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lang w:val="e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lang w:val="en"/>
              </w:rPr>
              <w:t>3</w:t>
            </w:r>
          </w:p>
        </w:tc>
        <w:tc>
          <w:tcPr>
            <w:tcW w:w="120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lang w:val="e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lang w:val="en"/>
              </w:rPr>
              <w:t>0.675</w:t>
            </w:r>
          </w:p>
        </w:tc>
        <w:tc>
          <w:tcPr>
            <w:tcW w:w="126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right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lang w:val="e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lang w:val="en"/>
              </w:rPr>
              <w:t>133</w:t>
            </w:r>
          </w:p>
        </w:tc>
        <w:tc>
          <w:tcPr>
            <w:tcW w:w="175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0</w:t>
            </w:r>
          </w:p>
        </w:tc>
      </w:tr>
    </w:tbl>
    <w:p>
      <w:pPr>
        <w:pStyle w:val="2"/>
        <w:spacing w:before="154" w:line="224" w:lineRule="auto"/>
        <w:ind w:left="406" w:firstLine="322" w:firstLineChars="1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说明：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1.“行政征收”的统计范围为统计年度1月1日至12月31日期间征收完毕的数量。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2.</w:t>
      </w:r>
      <w:r>
        <w:rPr>
          <w:rFonts w:hint="eastAsia" w:ascii="仿宋_GB2312" w:hAnsi="仿宋_GB2312" w:eastAsia="仿宋_GB2312" w:cs="仿宋_GB2312"/>
          <w:caps w:val="0"/>
          <w:color w:val="auto"/>
          <w:spacing w:val="-11"/>
          <w:sz w:val="32"/>
          <w:szCs w:val="32"/>
          <w:shd w:val="clear" w:fill="FFFFFF"/>
        </w:rPr>
        <w:t>“行政裁决次数”、“行政确认次数”、“行政奖励次数”的</w:t>
      </w: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统计范围为统计年度1月1日至12月31日期间作出行政裁决、行政确认、行政奖励决定的数量。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3.“行政给付次数”的统计范围为统计年度1月1日至12月31日期间给付完毕的数量。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4.“行政检查次数”的统计范围为统计年度1月1日至12月31日期间，依法开展监督检查数量，包括日常</w:t>
      </w: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检查</w:t>
      </w: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、专项检查、联合检查等各类现场检查次数；针对检查发现问题的整改复查不纳入本项统计。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aps w:val="0"/>
          <w:color w:val="auto"/>
          <w:spacing w:val="0"/>
          <w:sz w:val="32"/>
          <w:szCs w:val="32"/>
          <w:shd w:val="clear" w:fill="FFFFFF"/>
        </w:rPr>
        <w:t>“其他行政执法行为”的统计范围为统计年度1月1日至12月31日期间完成的宗数。</w:t>
      </w:r>
    </w:p>
    <w:p>
      <w:pPr>
        <w:spacing w:line="255" w:lineRule="auto"/>
        <w:rPr>
          <w:rFonts w:ascii="Arial"/>
          <w:sz w:val="21"/>
        </w:rPr>
      </w:pPr>
    </w:p>
    <w:p>
      <w:pPr>
        <w:spacing w:before="101" w:line="225" w:lineRule="auto"/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7"/>
          <w:sz w:val="32"/>
          <w:szCs w:val="32"/>
        </w:rPr>
        <w:t>第二部分衡阳市应急管理局</w:t>
      </w:r>
      <w:r>
        <w:rPr>
          <w:rFonts w:hint="eastAsia" w:ascii="黑体" w:hAnsi="黑体" w:eastAsia="黑体" w:cs="黑体"/>
          <w:spacing w:val="-47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7"/>
          <w:sz w:val="32"/>
          <w:szCs w:val="32"/>
          <w:lang w:val="en"/>
        </w:rPr>
        <w:t>2025</w:t>
      </w:r>
      <w:r>
        <w:rPr>
          <w:rFonts w:hint="eastAsia" w:ascii="黑体" w:hAnsi="黑体" w:eastAsia="黑体" w:cs="黑体"/>
          <w:spacing w:val="-61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7"/>
          <w:sz w:val="32"/>
          <w:szCs w:val="32"/>
        </w:rPr>
        <w:t>年度行政执法</w:t>
      </w:r>
      <w:r>
        <w:rPr>
          <w:rFonts w:hint="eastAsia" w:ascii="黑体" w:hAnsi="黑体" w:eastAsia="黑体" w:cs="黑体"/>
          <w:spacing w:val="7"/>
          <w:sz w:val="32"/>
          <w:szCs w:val="32"/>
          <w:lang w:eastAsia="zh-CN"/>
        </w:rPr>
        <w:t>总体情况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2" w:line="300" w:lineRule="exact"/>
        <w:ind w:left="11"/>
        <w:textAlignment w:val="baseline"/>
        <w:rPr>
          <w:rFonts w:ascii="KaiTi" w:hAnsi="KaiTi" w:eastAsia="KaiTi" w:cs="KaiTi"/>
          <w:spacing w:val="8"/>
          <w:sz w:val="31"/>
          <w:szCs w:val="3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textAlignment w:val="baseline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8"/>
          <w:sz w:val="31"/>
          <w:szCs w:val="31"/>
        </w:rPr>
        <w:t>一、行政处罚实施情况说明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本部门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"/>
        </w:rPr>
        <w:t>2025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年度行政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处罚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次数共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63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次，罚没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金额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04.4937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本部门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5年度行政处罚被申请行政复议1宗；行政处罚直接被提起行政诉讼0宗。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textAlignment w:val="baseline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8"/>
          <w:sz w:val="31"/>
          <w:szCs w:val="31"/>
        </w:rPr>
        <w:t>二、行政许可实施情况说明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本部门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年度行政许可申请总数为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452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宗，予以许可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450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宗。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本部门2025年度行政许可被申请行政复议0宗；行政许可直接被提起行政诉讼0宗。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textAlignment w:val="baseline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9"/>
          <w:sz w:val="31"/>
          <w:szCs w:val="31"/>
        </w:rPr>
        <w:t>三、行政强制实施情况说明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本部门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年度行政强制总数为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宗。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textAlignment w:val="baseline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pacing w:val="7"/>
          <w:sz w:val="31"/>
          <w:szCs w:val="31"/>
        </w:rPr>
        <w:t>四、</w:t>
      </w:r>
      <w:r>
        <w:rPr>
          <w:rFonts w:hint="eastAsia" w:ascii="KaiTi" w:hAnsi="KaiTi" w:eastAsia="KaiTi" w:cs="KaiTi"/>
          <w:spacing w:val="7"/>
          <w:sz w:val="31"/>
          <w:szCs w:val="31"/>
          <w:lang w:eastAsia="zh-CN"/>
        </w:rPr>
        <w:t>其他行政执法行为</w:t>
      </w:r>
      <w:r>
        <w:rPr>
          <w:rFonts w:ascii="KaiTi" w:hAnsi="KaiTi" w:eastAsia="KaiTi" w:cs="KaiTi"/>
          <w:spacing w:val="7"/>
          <w:sz w:val="31"/>
          <w:szCs w:val="31"/>
        </w:rPr>
        <w:t>实施情况说明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本部门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年度行政征收总数为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次，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行政裁决总数为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0次，行政给付总数0元，行政确认总数0次，行政奖励总数3次，奖励金额共计0.675万元，其他行政执法行为总数0宗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left="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（注：“被申请行政复议和被提起行政诉讼”数量的统计范围为统计年度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1月日至12月31日期间作出复议决定和生效判决的数量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firstLine="6400" w:firstLineChars="200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firstLine="9920" w:firstLineChars="3100"/>
        <w:jc w:val="left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衡阳市应急管理局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firstLine="10240" w:firstLineChars="3200"/>
        <w:jc w:val="left"/>
        <w:textAlignment w:val="baseline"/>
        <w:rPr>
          <w:rFonts w:hint="default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2026年1月20日</w:t>
      </w:r>
    </w:p>
    <w:sectPr>
      <w:footerReference r:id="rId5" w:type="default"/>
      <w:pgSz w:w="16839" w:h="11906" w:orient="landscape"/>
      <w:pgMar w:top="1468" w:right="1431" w:bottom="1372" w:left="1168" w:header="0" w:footer="998" w:gutter="0"/>
      <w:pgNumType w:fmt="decimal" w:start="1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7" w:lineRule="auto"/>
      <w:ind w:left="4439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EFAD8A"/>
    <w:multiLevelType w:val="singleLevel"/>
    <w:tmpl w:val="BFEFAD8A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abstractNum w:abstractNumId="1">
    <w:nsid w:val="CD6C32FA"/>
    <w:multiLevelType w:val="singleLevel"/>
    <w:tmpl w:val="CD6C32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E974CA6"/>
    <w:multiLevelType w:val="singleLevel"/>
    <w:tmpl w:val="7E974CA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bordersDoNotSurroundHeader w:val="false"/>
  <w:bordersDoNotSurroundFooter w:val="false"/>
  <w:documentProtection w:enforcement="0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3BFB6809"/>
    <w:rsid w:val="3E3AEAF4"/>
    <w:rsid w:val="5A37D5AF"/>
    <w:rsid w:val="5FE5C6EB"/>
    <w:rsid w:val="6F5FAE61"/>
    <w:rsid w:val="71B537D9"/>
    <w:rsid w:val="73F8D910"/>
    <w:rsid w:val="7B7F9F70"/>
    <w:rsid w:val="7BF6FFCB"/>
    <w:rsid w:val="7F26E457"/>
    <w:rsid w:val="7FFF3AFD"/>
    <w:rsid w:val="ADF700FB"/>
    <w:rsid w:val="BBB6FE48"/>
    <w:rsid w:val="D5DFDA79"/>
    <w:rsid w:val="DE7C78EC"/>
    <w:rsid w:val="FB9D1CE2"/>
    <w:rsid w:val="FFFD2A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FangSong" w:hAnsi="FangSong" w:eastAsia="FangSong" w:cs="FangSong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ScaleCrop>false</ScaleCrop>
  <LinksUpToDate>false</LinksUpToDate>
  <Application>WPS Office_11.8.2.10229_F1E327BC-269C-435d-A152-05C5408002CA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2025-04-05T00:31:00Z</dcterms:created>
  <dc:creator>Administrator</dc:creator>
  <cp:lastModifiedBy>kylin</cp:lastModifiedBy>
  <cp:lastPrinted>2026-01-21T18:14:00Z</cp:lastPrinted>
  <dcterms:modified xsi:type="dcterms:W3CDTF">2026-01-26T17:24:34Z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2026-01-19T10:09:47Z</vt:filetime>
  </property>
  <property fmtid="{D5CDD505-2E9C-101B-9397-08002B2CF9AE}" pid="4" name="KSOProductBuildVer">
    <vt:lpwstr>2052-11.8.2.10229</vt:lpwstr>
  </property>
</Properties>
</file>