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AC5778">
      <w:pPr>
        <w:jc w:val="center"/>
        <w:rPr>
          <w:rFonts w:hint="eastAsia" w:ascii="Times New Roman" w:hAnsi="Times New Roman" w:eastAsia="方正小标宋简体"/>
          <w:sz w:val="48"/>
          <w:szCs w:val="48"/>
        </w:rPr>
      </w:pPr>
    </w:p>
    <w:p w14:paraId="20D71F43">
      <w:pPr>
        <w:jc w:val="center"/>
        <w:rPr>
          <w:rFonts w:hint="eastAsia" w:ascii="Times New Roman" w:hAnsi="Times New Roman" w:eastAsia="方正小标宋简体"/>
          <w:sz w:val="48"/>
          <w:szCs w:val="48"/>
        </w:rPr>
      </w:pPr>
    </w:p>
    <w:p w14:paraId="53560D09">
      <w:pPr>
        <w:jc w:val="center"/>
        <w:rPr>
          <w:rFonts w:hint="eastAsia" w:ascii="Times New Roman" w:hAnsi="Times New Roman" w:eastAsia="方正小标宋简体"/>
          <w:sz w:val="48"/>
          <w:szCs w:val="48"/>
        </w:rPr>
      </w:pPr>
    </w:p>
    <w:p w14:paraId="36A09337">
      <w:pPr>
        <w:jc w:val="center"/>
        <w:rPr>
          <w:rFonts w:ascii="Times New Roman" w:hAnsi="Times New Roman" w:eastAsia="方正小标宋简体"/>
          <w:sz w:val="48"/>
          <w:szCs w:val="48"/>
        </w:rPr>
      </w:pPr>
      <w:r>
        <w:rPr>
          <w:rFonts w:hint="eastAsia" w:ascii="Times New Roman" w:hAnsi="Times New Roman" w:eastAsia="方正小标宋简体"/>
          <w:sz w:val="48"/>
          <w:szCs w:val="48"/>
          <w:lang w:eastAsia="zh-CN"/>
        </w:rPr>
        <w:t>经济责任审计专项经费</w:t>
      </w:r>
      <w:r>
        <w:rPr>
          <w:rFonts w:hint="eastAsia" w:ascii="Times New Roman" w:hAnsi="Times New Roman" w:eastAsia="方正小标宋简体"/>
          <w:sz w:val="48"/>
          <w:szCs w:val="48"/>
        </w:rPr>
        <w:t>项目</w:t>
      </w:r>
      <w:r>
        <w:rPr>
          <w:rFonts w:ascii="Times New Roman" w:hAnsi="Times New Roman" w:eastAsia="方正小标宋简体"/>
          <w:sz w:val="48"/>
          <w:szCs w:val="48"/>
        </w:rPr>
        <w:t>支出</w:t>
      </w:r>
    </w:p>
    <w:p w14:paraId="1B19B3AC">
      <w:pPr>
        <w:jc w:val="center"/>
        <w:rPr>
          <w:rFonts w:ascii="Times New Roman" w:hAnsi="Times New Roman" w:eastAsia="方正小标宋简体"/>
          <w:sz w:val="48"/>
          <w:szCs w:val="48"/>
        </w:rPr>
      </w:pPr>
      <w:r>
        <w:rPr>
          <w:rFonts w:ascii="Times New Roman" w:hAnsi="Times New Roman" w:eastAsia="方正小标宋简体"/>
          <w:sz w:val="48"/>
          <w:szCs w:val="48"/>
        </w:rPr>
        <w:t>绩效自评报告</w:t>
      </w:r>
    </w:p>
    <w:p w14:paraId="192409E9">
      <w:pPr>
        <w:jc w:val="center"/>
        <w:rPr>
          <w:rFonts w:ascii="Times New Roman" w:hAnsi="Times New Roman" w:eastAsia="方正小标宋简体"/>
          <w:sz w:val="36"/>
          <w:szCs w:val="36"/>
        </w:rPr>
      </w:pPr>
      <w:r>
        <w:rPr>
          <w:rFonts w:hint="eastAsia" w:ascii="Times New Roman" w:hAnsi="Times New Roman" w:eastAsia="方正小标宋简体"/>
          <w:sz w:val="36"/>
          <w:szCs w:val="36"/>
        </w:rPr>
        <w:t>（</w:t>
      </w:r>
      <w:r>
        <w:rPr>
          <w:rFonts w:ascii="Times New Roman" w:hAnsi="Times New Roman" w:eastAsia="方正小标宋简体"/>
          <w:sz w:val="36"/>
          <w:szCs w:val="36"/>
        </w:rPr>
        <w:t>202</w:t>
      </w:r>
      <w:r>
        <w:rPr>
          <w:rFonts w:hint="eastAsia" w:ascii="Times New Roman" w:hAnsi="Times New Roman" w:eastAsia="方正小标宋简体"/>
          <w:sz w:val="36"/>
          <w:szCs w:val="36"/>
          <w:lang w:val="en-US" w:eastAsia="zh-CN"/>
        </w:rPr>
        <w:t>4</w:t>
      </w:r>
      <w:r>
        <w:rPr>
          <w:rFonts w:ascii="Times New Roman" w:hAnsi="Times New Roman" w:eastAsia="方正小标宋简体"/>
          <w:sz w:val="36"/>
          <w:szCs w:val="36"/>
        </w:rPr>
        <w:t>年度</w:t>
      </w:r>
      <w:r>
        <w:rPr>
          <w:rFonts w:hint="eastAsia" w:ascii="Times New Roman" w:hAnsi="Times New Roman" w:eastAsia="方正小标宋简体"/>
          <w:sz w:val="36"/>
          <w:szCs w:val="36"/>
        </w:rPr>
        <w:t>）</w:t>
      </w:r>
    </w:p>
    <w:p w14:paraId="18CFAAF9">
      <w:pPr>
        <w:jc w:val="center"/>
        <w:rPr>
          <w:rFonts w:ascii="Times New Roman" w:hAnsi="Times New Roman" w:eastAsia="黑体"/>
          <w:sz w:val="32"/>
          <w:szCs w:val="32"/>
        </w:rPr>
      </w:pPr>
    </w:p>
    <w:p w14:paraId="23C63098">
      <w:pPr>
        <w:jc w:val="center"/>
        <w:rPr>
          <w:rFonts w:ascii="Times New Roman" w:hAnsi="Times New Roman" w:eastAsia="黑体"/>
          <w:sz w:val="32"/>
          <w:szCs w:val="32"/>
        </w:rPr>
      </w:pPr>
      <w:bookmarkStart w:id="0" w:name="_GoBack"/>
      <w:bookmarkEnd w:id="0"/>
    </w:p>
    <w:p w14:paraId="647554D8">
      <w:pPr>
        <w:jc w:val="center"/>
        <w:rPr>
          <w:rFonts w:ascii="Times New Roman" w:hAnsi="Times New Roman" w:eastAsia="黑体"/>
          <w:sz w:val="32"/>
          <w:szCs w:val="32"/>
        </w:rPr>
      </w:pPr>
    </w:p>
    <w:p w14:paraId="173DCD42">
      <w:pPr>
        <w:jc w:val="center"/>
        <w:rPr>
          <w:rFonts w:ascii="Times New Roman" w:hAnsi="Times New Roman" w:eastAsia="黑体"/>
          <w:sz w:val="32"/>
          <w:szCs w:val="32"/>
        </w:rPr>
      </w:pPr>
    </w:p>
    <w:p w14:paraId="6DFBE6EE">
      <w:pPr>
        <w:rPr>
          <w:rFonts w:ascii="Times New Roman" w:hAnsi="Times New Roman" w:eastAsia="黑体"/>
          <w:sz w:val="32"/>
          <w:szCs w:val="32"/>
        </w:rPr>
      </w:pPr>
    </w:p>
    <w:p w14:paraId="66EC965F">
      <w:pPr>
        <w:jc w:val="center"/>
        <w:rPr>
          <w:rFonts w:ascii="Times New Roman" w:hAnsi="Times New Roman"/>
          <w:sz w:val="36"/>
          <w:szCs w:val="36"/>
        </w:rPr>
      </w:pPr>
    </w:p>
    <w:p w14:paraId="2827E5F6">
      <w:pPr>
        <w:jc w:val="center"/>
        <w:rPr>
          <w:rFonts w:ascii="Times New Roman" w:hAnsi="Times New Roman"/>
          <w:sz w:val="36"/>
          <w:szCs w:val="36"/>
        </w:rPr>
      </w:pPr>
    </w:p>
    <w:p w14:paraId="065C5019">
      <w:pPr>
        <w:jc w:val="center"/>
        <w:rPr>
          <w:rFonts w:ascii="Times New Roman" w:hAnsi="Times New Roman"/>
          <w:sz w:val="36"/>
          <w:szCs w:val="36"/>
        </w:rPr>
      </w:pPr>
    </w:p>
    <w:p w14:paraId="28880C9A">
      <w:pPr>
        <w:jc w:val="center"/>
        <w:rPr>
          <w:rFonts w:ascii="Times New Roman" w:hAnsi="Times New Roman"/>
          <w:sz w:val="36"/>
          <w:szCs w:val="36"/>
        </w:rPr>
      </w:pPr>
    </w:p>
    <w:p w14:paraId="21CE483D">
      <w:pPr>
        <w:jc w:val="center"/>
        <w:rPr>
          <w:rFonts w:ascii="Times New Roman" w:hAnsi="Times New Roman"/>
          <w:sz w:val="36"/>
          <w:szCs w:val="36"/>
        </w:rPr>
      </w:pPr>
    </w:p>
    <w:p w14:paraId="6E753ECD">
      <w:pPr>
        <w:ind w:firstLine="1440" w:firstLineChars="400"/>
        <w:jc w:val="both"/>
        <w:rPr>
          <w:rFonts w:hint="eastAsia" w:ascii="Times New Roman" w:hAnsi="Times New Roman" w:eastAsia="宋体"/>
          <w:sz w:val="36"/>
          <w:szCs w:val="36"/>
          <w:lang w:eastAsia="zh-CN"/>
        </w:rPr>
      </w:pPr>
      <w:r>
        <w:rPr>
          <w:rFonts w:ascii="Times New Roman" w:hAnsi="Times New Roman"/>
          <w:sz w:val="36"/>
          <w:szCs w:val="36"/>
        </w:rPr>
        <w:t>单位名称</w:t>
      </w:r>
      <w:r>
        <w:rPr>
          <w:rFonts w:hint="eastAsia" w:ascii="Times New Roman" w:hAnsi="Times New Roman"/>
          <w:sz w:val="36"/>
          <w:szCs w:val="36"/>
        </w:rPr>
        <w:t>（盖章）：</w:t>
      </w:r>
      <w:r>
        <w:rPr>
          <w:rFonts w:hint="eastAsia" w:ascii="Times New Roman" w:hAnsi="Times New Roman"/>
          <w:sz w:val="36"/>
          <w:szCs w:val="36"/>
          <w:lang w:eastAsia="zh-CN"/>
        </w:rPr>
        <w:t>衡阳市审计局</w:t>
      </w:r>
    </w:p>
    <w:p w14:paraId="078A74BE">
      <w:pPr>
        <w:ind w:firstLine="1440" w:firstLineChars="400"/>
        <w:jc w:val="both"/>
        <w:rPr>
          <w:rFonts w:ascii="Times New Roman" w:hAnsi="Times New Roman" w:eastAsia="黑体"/>
          <w:sz w:val="36"/>
          <w:szCs w:val="36"/>
        </w:rPr>
      </w:pPr>
      <w:r>
        <w:rPr>
          <w:rFonts w:hint="eastAsia" w:ascii="Times New Roman" w:hAnsi="Times New Roman"/>
          <w:sz w:val="36"/>
          <w:szCs w:val="36"/>
        </w:rPr>
        <w:t>主要负责人签字</w:t>
      </w:r>
      <w:r>
        <w:rPr>
          <w:rFonts w:ascii="Times New Roman" w:hAnsi="Times New Roman"/>
          <w:sz w:val="36"/>
          <w:szCs w:val="36"/>
        </w:rPr>
        <w:t>：</w:t>
      </w:r>
    </w:p>
    <w:p w14:paraId="7144652D">
      <w:pPr>
        <w:jc w:val="center"/>
        <w:rPr>
          <w:rFonts w:ascii="Times New Roman" w:hAnsi="Times New Roman" w:eastAsia="黑体"/>
          <w:sz w:val="36"/>
          <w:szCs w:val="36"/>
        </w:rPr>
      </w:pPr>
    </w:p>
    <w:p w14:paraId="07BD0F0D">
      <w:pPr>
        <w:ind w:firstLine="2880" w:firstLineChars="900"/>
        <w:rPr>
          <w:rFonts w:ascii="Times New Roman" w:hAnsi="Times New Roman" w:eastAsia="黑体"/>
          <w:sz w:val="32"/>
          <w:szCs w:val="32"/>
        </w:rPr>
      </w:pPr>
      <w:r>
        <w:rPr>
          <w:rFonts w:hint="eastAsia" w:ascii="Times New Roman" w:hAnsi="Times New Roman" w:eastAsia="黑体"/>
          <w:sz w:val="32"/>
          <w:szCs w:val="32"/>
          <w:lang w:val="en-US" w:eastAsia="zh-CN"/>
        </w:rPr>
        <w:t>2025</w:t>
      </w:r>
      <w:r>
        <w:rPr>
          <w:rFonts w:ascii="Times New Roman" w:hAnsi="Times New Roman" w:eastAsia="黑体"/>
          <w:sz w:val="32"/>
          <w:szCs w:val="32"/>
        </w:rPr>
        <w:t>年</w:t>
      </w:r>
      <w:r>
        <w:rPr>
          <w:rFonts w:hint="eastAsia" w:ascii="Times New Roman" w:hAnsi="Times New Roman" w:eastAsia="黑体"/>
          <w:sz w:val="32"/>
          <w:szCs w:val="32"/>
          <w:lang w:val="en-US" w:eastAsia="zh-CN"/>
        </w:rPr>
        <w:t>2</w:t>
      </w:r>
      <w:r>
        <w:rPr>
          <w:rFonts w:ascii="Times New Roman" w:hAnsi="Times New Roman" w:eastAsia="黑体"/>
          <w:sz w:val="32"/>
          <w:szCs w:val="32"/>
        </w:rPr>
        <w:t>月</w:t>
      </w:r>
      <w:r>
        <w:rPr>
          <w:rFonts w:hint="eastAsia" w:ascii="Times New Roman" w:hAnsi="Times New Roman" w:eastAsia="黑体"/>
          <w:sz w:val="32"/>
          <w:szCs w:val="32"/>
          <w:lang w:val="en-US" w:eastAsia="zh-CN"/>
        </w:rPr>
        <w:t>28</w:t>
      </w:r>
      <w:r>
        <w:rPr>
          <w:rFonts w:ascii="Times New Roman" w:hAnsi="Times New Roman" w:eastAsia="黑体"/>
          <w:sz w:val="32"/>
          <w:szCs w:val="32"/>
        </w:rPr>
        <w:t>日</w:t>
      </w:r>
    </w:p>
    <w:p w14:paraId="20B4AD54">
      <w:pPr>
        <w:jc w:val="center"/>
        <w:rPr>
          <w:rFonts w:ascii="Times New Roman" w:hAnsi="Times New Roman" w:eastAsia="黑体"/>
          <w:sz w:val="32"/>
          <w:szCs w:val="32"/>
        </w:rPr>
      </w:pPr>
    </w:p>
    <w:p w14:paraId="70CEDF2F">
      <w:pPr>
        <w:spacing w:line="600" w:lineRule="exact"/>
        <w:jc w:val="center"/>
        <w:rPr>
          <w:rFonts w:ascii="Times New Roman" w:hAnsi="Times New Roman" w:eastAsia="方正小标宋_GBK"/>
          <w:sz w:val="36"/>
          <w:szCs w:val="36"/>
        </w:rPr>
      </w:pPr>
    </w:p>
    <w:p w14:paraId="6F15DE9D">
      <w:pPr>
        <w:spacing w:line="600" w:lineRule="exact"/>
        <w:jc w:val="center"/>
        <w:rPr>
          <w:rFonts w:ascii="Times New Roman" w:hAnsi="Times New Roman" w:eastAsia="方正小标宋_GBK"/>
          <w:sz w:val="36"/>
          <w:szCs w:val="36"/>
        </w:rPr>
      </w:pPr>
    </w:p>
    <w:p w14:paraId="3467A5A1">
      <w:pPr>
        <w:spacing w:line="600" w:lineRule="exact"/>
        <w:jc w:val="center"/>
        <w:rPr>
          <w:rFonts w:ascii="Times New Roman" w:hAnsi="Times New Roman" w:eastAsia="方正小标宋_GBK"/>
          <w:sz w:val="36"/>
          <w:szCs w:val="36"/>
        </w:rPr>
      </w:pPr>
    </w:p>
    <w:p w14:paraId="5EE46961">
      <w:pPr>
        <w:spacing w:line="600" w:lineRule="exact"/>
        <w:jc w:val="center"/>
        <w:rPr>
          <w:rFonts w:ascii="Times New Roman" w:hAnsi="Times New Roman" w:eastAsia="方正小标宋_GBK"/>
          <w:sz w:val="36"/>
          <w:szCs w:val="36"/>
        </w:rPr>
      </w:pPr>
    </w:p>
    <w:p w14:paraId="21F0765D">
      <w:pPr>
        <w:pStyle w:val="2"/>
        <w:rPr>
          <w:rFonts w:ascii="Times New Roman" w:hAnsi="Times New Roman" w:eastAsia="方正小标宋_GBK"/>
          <w:sz w:val="36"/>
          <w:szCs w:val="36"/>
        </w:rPr>
      </w:pPr>
    </w:p>
    <w:p w14:paraId="4BA8B0ED">
      <w:pPr>
        <w:pStyle w:val="3"/>
        <w:rPr>
          <w:rFonts w:ascii="Times New Roman" w:hAnsi="Times New Roman" w:eastAsia="方正小标宋_GBK"/>
          <w:sz w:val="36"/>
          <w:szCs w:val="36"/>
        </w:rPr>
      </w:pPr>
    </w:p>
    <w:p w14:paraId="6540F16B">
      <w:pPr>
        <w:rPr>
          <w:rFonts w:ascii="Times New Roman" w:hAnsi="Times New Roman" w:eastAsia="方正小标宋_GBK"/>
          <w:sz w:val="36"/>
          <w:szCs w:val="36"/>
        </w:rPr>
      </w:pPr>
    </w:p>
    <w:p w14:paraId="51A0BC21">
      <w:pPr>
        <w:pStyle w:val="2"/>
        <w:rPr>
          <w:rFonts w:ascii="Times New Roman" w:hAnsi="Times New Roman" w:eastAsia="方正小标宋_GBK"/>
          <w:sz w:val="36"/>
          <w:szCs w:val="36"/>
        </w:rPr>
      </w:pPr>
    </w:p>
    <w:p w14:paraId="442633B2">
      <w:pPr>
        <w:pStyle w:val="3"/>
        <w:rPr>
          <w:rFonts w:ascii="Times New Roman" w:hAnsi="Times New Roman" w:eastAsia="方正小标宋_GBK"/>
          <w:sz w:val="36"/>
          <w:szCs w:val="36"/>
        </w:rPr>
      </w:pPr>
    </w:p>
    <w:p w14:paraId="31F79CCC">
      <w:pPr>
        <w:rPr>
          <w:rFonts w:ascii="Times New Roman" w:hAnsi="Times New Roman" w:eastAsia="方正小标宋_GBK"/>
          <w:sz w:val="36"/>
          <w:szCs w:val="36"/>
        </w:rPr>
      </w:pPr>
    </w:p>
    <w:p w14:paraId="2D8D7940">
      <w:pPr>
        <w:pStyle w:val="2"/>
        <w:rPr>
          <w:rFonts w:ascii="Times New Roman" w:hAnsi="Times New Roman" w:eastAsia="方正小标宋_GBK"/>
          <w:sz w:val="36"/>
          <w:szCs w:val="36"/>
        </w:rPr>
      </w:pPr>
    </w:p>
    <w:p w14:paraId="79184BAE">
      <w:pPr>
        <w:pStyle w:val="3"/>
        <w:rPr>
          <w:rFonts w:ascii="Times New Roman" w:hAnsi="Times New Roman" w:eastAsia="方正小标宋_GBK"/>
          <w:sz w:val="36"/>
          <w:szCs w:val="36"/>
        </w:rPr>
      </w:pPr>
    </w:p>
    <w:p w14:paraId="3EFAE7A9">
      <w:pPr>
        <w:rPr>
          <w:rFonts w:ascii="Times New Roman" w:hAnsi="Times New Roman" w:eastAsia="方正小标宋_GBK"/>
          <w:sz w:val="36"/>
          <w:szCs w:val="36"/>
        </w:rPr>
      </w:pPr>
    </w:p>
    <w:p w14:paraId="527010F8">
      <w:pPr>
        <w:pStyle w:val="2"/>
        <w:rPr>
          <w:rFonts w:ascii="Times New Roman" w:hAnsi="Times New Roman" w:eastAsia="方正小标宋_GBK"/>
          <w:sz w:val="36"/>
          <w:szCs w:val="36"/>
        </w:rPr>
      </w:pPr>
    </w:p>
    <w:p w14:paraId="76BB161E">
      <w:pPr>
        <w:pStyle w:val="3"/>
        <w:rPr>
          <w:rFonts w:ascii="Times New Roman" w:hAnsi="Times New Roman" w:eastAsia="方正小标宋_GBK"/>
          <w:sz w:val="36"/>
          <w:szCs w:val="36"/>
        </w:rPr>
      </w:pPr>
    </w:p>
    <w:p w14:paraId="6B5CFEA6">
      <w:pPr>
        <w:rPr>
          <w:rFonts w:ascii="Times New Roman" w:hAnsi="Times New Roman" w:eastAsia="方正小标宋_GBK"/>
          <w:sz w:val="36"/>
          <w:szCs w:val="36"/>
        </w:rPr>
      </w:pPr>
    </w:p>
    <w:p w14:paraId="4064A2B5">
      <w:pPr>
        <w:pStyle w:val="2"/>
        <w:rPr>
          <w:rFonts w:ascii="Times New Roman" w:hAnsi="Times New Roman" w:eastAsia="方正小标宋_GBK"/>
          <w:sz w:val="36"/>
          <w:szCs w:val="36"/>
        </w:rPr>
      </w:pPr>
    </w:p>
    <w:p w14:paraId="1929B2BE">
      <w:pPr>
        <w:pStyle w:val="3"/>
        <w:rPr>
          <w:rFonts w:ascii="Times New Roman" w:hAnsi="Times New Roman" w:eastAsia="方正小标宋_GBK"/>
          <w:sz w:val="36"/>
          <w:szCs w:val="36"/>
        </w:rPr>
      </w:pPr>
    </w:p>
    <w:p w14:paraId="2FA4D974">
      <w:pPr>
        <w:rPr>
          <w:rFonts w:ascii="Times New Roman" w:hAnsi="Times New Roman" w:eastAsia="方正小标宋_GBK"/>
          <w:sz w:val="36"/>
          <w:szCs w:val="36"/>
        </w:rPr>
      </w:pPr>
    </w:p>
    <w:p w14:paraId="0FBA7B16">
      <w:pPr>
        <w:pStyle w:val="2"/>
        <w:rPr>
          <w:rFonts w:ascii="Times New Roman" w:hAnsi="Times New Roman" w:eastAsia="方正小标宋_GBK"/>
          <w:sz w:val="36"/>
          <w:szCs w:val="36"/>
        </w:rPr>
      </w:pPr>
    </w:p>
    <w:p w14:paraId="57A47846">
      <w:pPr>
        <w:pStyle w:val="3"/>
        <w:rPr>
          <w:rFonts w:ascii="Times New Roman" w:hAnsi="Times New Roman" w:eastAsia="方正小标宋_GBK"/>
          <w:sz w:val="36"/>
          <w:szCs w:val="36"/>
        </w:rPr>
      </w:pPr>
    </w:p>
    <w:p w14:paraId="348F526B">
      <w:pPr>
        <w:rPr>
          <w:rFonts w:ascii="Times New Roman" w:hAnsi="Times New Roman" w:eastAsia="方正小标宋_GBK"/>
          <w:sz w:val="36"/>
          <w:szCs w:val="36"/>
        </w:rPr>
      </w:pPr>
    </w:p>
    <w:p w14:paraId="2C756D9F">
      <w:pPr>
        <w:pStyle w:val="2"/>
        <w:rPr>
          <w:rFonts w:ascii="Times New Roman" w:hAnsi="Times New Roman" w:eastAsia="方正小标宋_GBK"/>
          <w:sz w:val="36"/>
          <w:szCs w:val="36"/>
        </w:rPr>
      </w:pPr>
    </w:p>
    <w:p w14:paraId="54695370">
      <w:pPr>
        <w:pStyle w:val="3"/>
        <w:rPr>
          <w:rFonts w:ascii="Times New Roman" w:hAnsi="Times New Roman" w:eastAsia="方正小标宋_GBK"/>
          <w:sz w:val="36"/>
          <w:szCs w:val="36"/>
        </w:rPr>
      </w:pPr>
    </w:p>
    <w:p w14:paraId="3FF302E1">
      <w:pPr>
        <w:rPr>
          <w:rFonts w:ascii="Times New Roman" w:hAnsi="Times New Roman" w:eastAsia="方正小标宋_GBK"/>
          <w:sz w:val="36"/>
          <w:szCs w:val="36"/>
        </w:rPr>
      </w:pPr>
    </w:p>
    <w:p w14:paraId="6F940FFF">
      <w:pPr>
        <w:spacing w:line="600" w:lineRule="exact"/>
        <w:rPr>
          <w:rFonts w:ascii="Times New Roman" w:hAnsi="Times New Roman" w:eastAsia="方正小标宋_GBK"/>
          <w:sz w:val="36"/>
          <w:szCs w:val="36"/>
        </w:rPr>
      </w:pPr>
    </w:p>
    <w:p w14:paraId="368D46BE">
      <w:pPr>
        <w:spacing w:line="6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项目支出绩效自评报告</w:t>
      </w:r>
    </w:p>
    <w:p w14:paraId="48A0F056">
      <w:pPr>
        <w:adjustRightInd w:val="0"/>
        <w:spacing w:line="600" w:lineRule="exact"/>
        <w:ind w:right="641"/>
        <w:rPr>
          <w:rFonts w:hint="default" w:ascii="Times New Roman" w:hAnsi="Times New Roman" w:eastAsia="仿宋_GB2312"/>
          <w:sz w:val="32"/>
          <w:szCs w:val="32"/>
          <w:lang w:val="en-US" w:eastAsia="zh-CN"/>
        </w:rPr>
      </w:pPr>
      <w:r>
        <w:rPr>
          <w:rFonts w:hint="eastAsia" w:ascii="Times New Roman" w:hAnsi="Times New Roman" w:eastAsia="楷体_GB2312"/>
          <w:sz w:val="32"/>
          <w:szCs w:val="32"/>
          <w:lang w:val="en-US" w:eastAsia="zh-CN"/>
        </w:rPr>
        <w:t xml:space="preserve">  </w:t>
      </w:r>
    </w:p>
    <w:p w14:paraId="3CAEB51C">
      <w:pPr>
        <w:adjustRightInd w:val="0"/>
        <w:snapToGrid w:val="0"/>
        <w:spacing w:line="600" w:lineRule="exact"/>
        <w:ind w:firstLine="640" w:firstLineChars="200"/>
        <w:rPr>
          <w:rFonts w:ascii="Times New Roman" w:hAnsi="Times New Roman" w:eastAsia="黑体"/>
          <w:sz w:val="32"/>
          <w:szCs w:val="32"/>
        </w:rPr>
      </w:pPr>
      <w:r>
        <w:rPr>
          <w:rFonts w:ascii="Times New Roman" w:hAnsi="Times New Roman" w:eastAsia="黑体"/>
          <w:sz w:val="32"/>
          <w:szCs w:val="32"/>
        </w:rPr>
        <w:t>一、项目支出概况</w:t>
      </w:r>
    </w:p>
    <w:p w14:paraId="69517FF1">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（一）项目实施单位基本情况。</w:t>
      </w:r>
    </w:p>
    <w:p w14:paraId="024FBD5C">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衡阳市审计局为衡阳市人民政府组成部门，设有办公室、行政科、法规审理科、财政审计一科等24个内设机构，另有下属参照公务员管理的公益一类副处级事业单位衡阳市审计服务中心。</w:t>
      </w:r>
    </w:p>
    <w:p w14:paraId="1E187D68">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（二）项目资金基本情况。</w:t>
      </w:r>
    </w:p>
    <w:p w14:paraId="217203BA">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衡阳市审计局</w:t>
      </w:r>
      <w:r>
        <w:rPr>
          <w:rFonts w:hint="default" w:ascii="仿宋_GB2312" w:hAnsi="仿宋_GB2312" w:eastAsia="仿宋_GB2312" w:cs="仿宋_GB2312"/>
          <w:sz w:val="32"/>
          <w:szCs w:val="32"/>
          <w:lang w:val="en-US" w:eastAsia="zh-CN"/>
        </w:rPr>
        <w:t>202</w:t>
      </w:r>
      <w:r>
        <w:rPr>
          <w:rFonts w:hint="eastAsia" w:ascii="仿宋_GB2312" w:hAnsi="仿宋_GB2312" w:eastAsia="仿宋_GB2312" w:cs="仿宋_GB2312"/>
          <w:sz w:val="32"/>
          <w:szCs w:val="32"/>
          <w:lang w:val="en-US" w:eastAsia="zh-CN"/>
        </w:rPr>
        <w:t>4年度经济责任审计专项经费年初预算300万元，实际支出165.87万元，主要用于开展领导干部经济责任及自然资源资产离任（任中）审计相关工作，包括开展审计工作所必需的各类开支。</w:t>
      </w:r>
    </w:p>
    <w:p w14:paraId="4C36D42B">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（三）预算资金绩效目标。</w:t>
      </w:r>
    </w:p>
    <w:p w14:paraId="1C710635">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市审计局经济责任审计专项经费项目支出绩效目标为完成</w:t>
      </w:r>
      <w:r>
        <w:rPr>
          <w:rFonts w:hint="eastAsia" w:ascii="仿宋_GB2312" w:hAnsi="仿宋_GB2312" w:eastAsia="仿宋_GB2312" w:cs="仿宋_GB2312"/>
          <w:sz w:val="32"/>
          <w:szCs w:val="32"/>
          <w:lang w:val="en-US" w:eastAsia="zh-CN"/>
        </w:rPr>
        <w:t>2024年度计划的14个领导干部经济责任审计项目</w:t>
      </w:r>
      <w:r>
        <w:rPr>
          <w:rFonts w:hint="eastAsia" w:ascii="仿宋_GB2312" w:hAnsi="仿宋_GB2312" w:eastAsia="仿宋_GB2312" w:cs="仿宋_GB2312"/>
          <w:sz w:val="32"/>
          <w:szCs w:val="32"/>
          <w:lang w:eastAsia="zh-CN"/>
        </w:rPr>
        <w:t>，同时，协助省审计厅做好县市区主要领导干部经济责任审计及自然资源资产离任审计。促进领导干部规范用权、担当作为，进而为党委政府加强对单位一把手的监督以及促进单位领导班子建设贡献审计力量。</w:t>
      </w:r>
    </w:p>
    <w:p w14:paraId="33B08E89">
      <w:pPr>
        <w:adjustRightInd w:val="0"/>
        <w:snapToGrid w:val="0"/>
        <w:spacing w:line="600" w:lineRule="exact"/>
        <w:ind w:firstLine="640" w:firstLineChars="200"/>
        <w:rPr>
          <w:rFonts w:ascii="Times New Roman" w:hAnsi="Times New Roman" w:eastAsia="黑体"/>
          <w:sz w:val="32"/>
          <w:szCs w:val="32"/>
        </w:rPr>
      </w:pPr>
      <w:r>
        <w:rPr>
          <w:rFonts w:ascii="Times New Roman" w:hAnsi="Times New Roman" w:eastAsia="黑体"/>
          <w:sz w:val="32"/>
          <w:szCs w:val="32"/>
        </w:rPr>
        <w:t>二、</w:t>
      </w:r>
      <w:r>
        <w:rPr>
          <w:rFonts w:hint="eastAsia" w:ascii="Times New Roman" w:hAnsi="宋体" w:eastAsia="黑体" w:cs="黑体"/>
          <w:kern w:val="2"/>
          <w:sz w:val="32"/>
          <w:szCs w:val="32"/>
          <w:lang w:val="en-US" w:eastAsia="zh-CN" w:bidi="ar"/>
        </w:rPr>
        <w:t>项目支出主要绩效及评价结论</w:t>
      </w:r>
    </w:p>
    <w:p w14:paraId="3CFA7565">
      <w:pPr>
        <w:adjustRightInd w:val="0"/>
        <w:snapToGrid w:val="0"/>
        <w:spacing w:line="600" w:lineRule="exact"/>
        <w:ind w:firstLine="640" w:firstLineChars="200"/>
        <w:rPr>
          <w:rFonts w:ascii="Times New Roman" w:hAnsi="Times New Roman" w:eastAsia="黑体"/>
          <w:sz w:val="32"/>
          <w:szCs w:val="32"/>
        </w:rPr>
      </w:pPr>
      <w:r>
        <w:rPr>
          <w:rFonts w:hint="eastAsia" w:ascii="仿宋_GB2312" w:hAnsi="仿宋_GB2312" w:eastAsia="仿宋_GB2312" w:cs="仿宋_GB2312"/>
          <w:sz w:val="32"/>
          <w:szCs w:val="32"/>
          <w:lang w:val="en-US" w:eastAsia="zh-CN"/>
        </w:rPr>
        <w:t>2024年，我单位根据要求</w:t>
      </w:r>
      <w:r>
        <w:rPr>
          <w:rFonts w:hint="eastAsia" w:ascii="仿宋_GB2312" w:hAnsi="仿宋_GB2312" w:eastAsia="仿宋_GB2312" w:cs="仿宋_GB2312"/>
          <w:sz w:val="32"/>
          <w:szCs w:val="32"/>
          <w:lang w:eastAsia="zh-CN"/>
        </w:rPr>
        <w:t>扎实开展经济责任审计，对市行政审批服务局、市信访局、市公安局交警支队、市疾病预防控制中心、市第二十六中学等14个单位的16名主要负责人开展任期经济责任审计。其中：对涉及管理机制和内部控制方面的问题，提出了整改建议43条，下发督促整改函3篇；对涉嫌违反党纪法规需要进一步调查处理，或被审计单位所处行业存在的普遍性问题，分别向纪检监察机关或者其他主管部门移送问题线索17条；对在审计中发现涉及体制机制方面的典型性问题，向党政主要领导报送审计要情和专报4份。同时，根据省审计厅安排，实施了临澧县党政主要领导干部经济责任审计与自然资源资产离任（任中）等审计，助推县域经济高质量发展。</w:t>
      </w:r>
    </w:p>
    <w:p w14:paraId="64914F89">
      <w:pPr>
        <w:keepNext w:val="0"/>
        <w:keepLines w:val="0"/>
        <w:widowControl w:val="0"/>
        <w:suppressLineNumbers w:val="0"/>
        <w:autoSpaceDE w:val="0"/>
        <w:autoSpaceDN/>
        <w:spacing w:before="0" w:beforeAutospacing="0" w:after="0" w:afterAutospacing="0" w:line="560" w:lineRule="exact"/>
        <w:ind w:left="0" w:right="0" w:firstLine="640" w:firstLineChars="200"/>
        <w:jc w:val="both"/>
        <w:rPr>
          <w:rFonts w:hint="default" w:ascii="Times New Roman" w:hAnsi="Times New Roman" w:eastAsia="黑体" w:cs="Times New Roman"/>
          <w:sz w:val="32"/>
          <w:szCs w:val="32"/>
          <w:lang w:val="en-US"/>
        </w:rPr>
      </w:pPr>
      <w:r>
        <w:rPr>
          <w:rFonts w:hint="eastAsia" w:ascii="Times New Roman" w:hAnsi="宋体" w:eastAsia="黑体" w:cs="黑体"/>
          <w:kern w:val="2"/>
          <w:sz w:val="32"/>
          <w:szCs w:val="32"/>
          <w:lang w:val="en-US" w:eastAsia="zh-CN" w:bidi="ar"/>
        </w:rPr>
        <w:t>三、主要经验及做法</w:t>
      </w:r>
    </w:p>
    <w:p w14:paraId="34D28D9D">
      <w:pPr>
        <w:keepNext w:val="0"/>
        <w:keepLines w:val="0"/>
        <w:widowControl w:val="0"/>
        <w:suppressLineNumbers w:val="0"/>
        <w:autoSpaceDE w:val="0"/>
        <w:autoSpaceDN/>
        <w:spacing w:before="0" w:beforeAutospacing="0" w:after="0" w:afterAutospacing="0" w:line="560" w:lineRule="exact"/>
        <w:ind w:left="0" w:right="0" w:firstLine="640" w:firstLineChars="200"/>
        <w:jc w:val="both"/>
        <w:rPr>
          <w:rFonts w:hint="default" w:ascii="Times New Roman" w:hAnsi="Times New Roman" w:eastAsia="仿宋_GB2312" w:cs="Times New Roman"/>
          <w:sz w:val="32"/>
          <w:szCs w:val="32"/>
          <w:lang w:val="en-US"/>
        </w:rPr>
      </w:pPr>
      <w:r>
        <w:rPr>
          <w:rFonts w:hint="eastAsia" w:ascii="仿宋_GB2312" w:hAnsi="仿宋_GB2312" w:eastAsia="仿宋_GB2312" w:cs="仿宋_GB2312"/>
          <w:sz w:val="32"/>
          <w:szCs w:val="32"/>
          <w:lang w:val="en-US" w:eastAsia="zh-CN"/>
        </w:rPr>
        <w:t>市审计局紧紧围绕党委、政府中心工作，依据审计全覆盖要求，顺应审计事业发展趋势，结合以往审计情况，制定每年度审计项目计划，并报市委审计委员会审议通过后开始实施。每个审计项目均经过前期调查、下发审计通知书、审计实施、出具审计报告征求意见稿、被审计单位反馈意见、审理、召开审计业务会、出具正式审计报告及相关审计文书、审计整改等严格的审计程序。相关项目经费支出均需有审计通知书或相关工作文件作为依据、与审计业务开展事实相关方可经过财务审核程序进行列支。市审计局秉持厉行节约原则，积极响应财政部门压减项目支出预算的要求，持之以恒严控经费开支。</w:t>
      </w:r>
    </w:p>
    <w:p w14:paraId="1ED7922B">
      <w:pPr>
        <w:adjustRightInd w:val="0"/>
        <w:snapToGrid w:val="0"/>
        <w:spacing w:line="600" w:lineRule="exact"/>
        <w:ind w:firstLine="640" w:firstLineChars="200"/>
        <w:rPr>
          <w:rFonts w:ascii="Times New Roman" w:hAnsi="Times New Roman" w:eastAsia="黑体"/>
          <w:sz w:val="32"/>
          <w:szCs w:val="32"/>
        </w:rPr>
      </w:pPr>
      <w:r>
        <w:rPr>
          <w:rFonts w:hint="eastAsia" w:ascii="Times New Roman" w:hAnsi="Times New Roman" w:eastAsia="黑体"/>
          <w:sz w:val="32"/>
          <w:szCs w:val="32"/>
          <w:lang w:eastAsia="zh-CN"/>
        </w:rPr>
        <w:t>四</w:t>
      </w:r>
      <w:r>
        <w:rPr>
          <w:rFonts w:ascii="Times New Roman" w:hAnsi="Times New Roman" w:eastAsia="黑体"/>
          <w:sz w:val="32"/>
          <w:szCs w:val="32"/>
        </w:rPr>
        <w:t>、存在的问题及原因分析</w:t>
      </w:r>
    </w:p>
    <w:p w14:paraId="35A91A18">
      <w:pPr>
        <w:adjustRightInd w:val="0"/>
        <w:snapToGrid w:val="0"/>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一是预算执行率偏低，主要原因是“金审三期”项目因省审计厅统一安排本年暂未实施造成年末项目资金结余较大；</w:t>
      </w:r>
    </w:p>
    <w:p w14:paraId="36742C3A">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二是</w:t>
      </w:r>
      <w:r>
        <w:rPr>
          <w:rFonts w:hint="eastAsia" w:ascii="仿宋_GB2312" w:hAnsi="仿宋_GB2312" w:eastAsia="仿宋_GB2312" w:cs="仿宋_GB2312"/>
          <w:sz w:val="32"/>
          <w:szCs w:val="32"/>
          <w:lang w:eastAsia="zh-CN"/>
        </w:rPr>
        <w:t>审计项目年初计划需经审计委员会审议通过方可开展实施，而市委审计委员会通常需等中央及省委审计委员会结束后方可召开，因此审计项目周期一般开始于当年</w:t>
      </w:r>
      <w:r>
        <w:rPr>
          <w:rFonts w:hint="eastAsia" w:ascii="仿宋_GB2312" w:hAnsi="仿宋_GB2312" w:eastAsia="仿宋_GB2312" w:cs="仿宋_GB2312"/>
          <w:sz w:val="32"/>
          <w:szCs w:val="32"/>
          <w:lang w:val="en-US" w:eastAsia="zh-CN"/>
        </w:rPr>
        <w:t>3月，结束于次年2月，这与财政支出绩效评价的自然年周期存在差异。</w:t>
      </w:r>
    </w:p>
    <w:p w14:paraId="5030C6DE">
      <w:pPr>
        <w:adjustRightInd w:val="0"/>
        <w:snapToGrid w:val="0"/>
        <w:spacing w:line="600" w:lineRule="exact"/>
        <w:ind w:firstLine="640" w:firstLineChars="200"/>
        <w:rPr>
          <w:rFonts w:hint="eastAsia" w:ascii="Times New Roman" w:hAnsi="Times New Roman" w:eastAsia="黑体"/>
          <w:sz w:val="32"/>
          <w:szCs w:val="32"/>
          <w:lang w:eastAsia="zh-CN"/>
        </w:rPr>
      </w:pPr>
      <w:r>
        <w:rPr>
          <w:rFonts w:hint="eastAsia" w:ascii="Times New Roman" w:hAnsi="Times New Roman" w:eastAsia="黑体"/>
          <w:sz w:val="32"/>
          <w:szCs w:val="32"/>
          <w:lang w:eastAsia="zh-CN"/>
        </w:rPr>
        <w:t>五</w:t>
      </w:r>
      <w:r>
        <w:rPr>
          <w:rFonts w:ascii="Times New Roman" w:hAnsi="Times New Roman" w:eastAsia="黑体"/>
          <w:sz w:val="32"/>
          <w:szCs w:val="32"/>
        </w:rPr>
        <w:t>、</w:t>
      </w:r>
      <w:r>
        <w:rPr>
          <w:rFonts w:hint="eastAsia" w:ascii="Times New Roman" w:hAnsi="Times New Roman" w:eastAsia="黑体"/>
          <w:sz w:val="32"/>
          <w:szCs w:val="32"/>
          <w:lang w:eastAsia="zh-CN"/>
        </w:rPr>
        <w:t>下一步改进措施</w:t>
      </w:r>
    </w:p>
    <w:p w14:paraId="5CD43CD9">
      <w:pPr>
        <w:adjustRightInd w:val="0"/>
        <w:snapToGrid w:val="0"/>
        <w:spacing w:line="60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我单位将密切关注省审计厅关于“金审三期”项目建设要求，严格按照相关规定及时推动项目建设，进一步提高资金使用效益。同时继续把绩效监控工作作为加强自身财务建设，提高财政资金使用效益的重要手段，积极探索建立适合单位实际情况的绩效运行监控管理机制，不断积累经验，完善管理机制，督促预算绩效目标的实现。</w:t>
      </w:r>
    </w:p>
    <w:p w14:paraId="58431E2A">
      <w:pPr>
        <w:adjustRightInd w:val="0"/>
        <w:snapToGrid w:val="0"/>
        <w:spacing w:line="600" w:lineRule="exact"/>
        <w:ind w:firstLine="640" w:firstLineChars="200"/>
        <w:rPr>
          <w:rFonts w:ascii="Times New Roman" w:hAnsi="Times New Roman" w:eastAsia="黑体"/>
          <w:sz w:val="32"/>
          <w:szCs w:val="32"/>
        </w:rPr>
      </w:pPr>
      <w:r>
        <w:rPr>
          <w:rFonts w:hint="eastAsia" w:ascii="Times New Roman" w:hAnsi="Times New Roman" w:eastAsia="黑体"/>
          <w:sz w:val="32"/>
          <w:szCs w:val="32"/>
          <w:lang w:eastAsia="zh-CN"/>
        </w:rPr>
        <w:t>六</w:t>
      </w:r>
      <w:r>
        <w:rPr>
          <w:rFonts w:ascii="Times New Roman" w:hAnsi="Times New Roman" w:eastAsia="黑体"/>
          <w:sz w:val="32"/>
          <w:szCs w:val="32"/>
        </w:rPr>
        <w:t>、其他需要说明的问题</w:t>
      </w:r>
    </w:p>
    <w:p w14:paraId="1D762BCA">
      <w:pPr>
        <w:keepNext w:val="0"/>
        <w:keepLines w:val="0"/>
        <w:widowControl w:val="0"/>
        <w:suppressLineNumbers w:val="0"/>
        <w:autoSpaceDE w:val="0"/>
        <w:autoSpaceDN/>
        <w:spacing w:before="0" w:beforeAutospacing="0" w:after="0" w:afterAutospacing="0" w:line="560" w:lineRule="exact"/>
        <w:ind w:left="0" w:right="0" w:firstLine="640" w:firstLineChars="200"/>
        <w:jc w:val="both"/>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0"/>
          <w:sz w:val="32"/>
          <w:szCs w:val="32"/>
          <w:lang w:val="en-US" w:eastAsia="zh-CN"/>
        </w:rPr>
        <w:t>无</w:t>
      </w:r>
      <w:r>
        <w:rPr>
          <w:rFonts w:hint="eastAsia" w:ascii="仿宋_GB2312" w:hAnsi="仿宋_GB2312" w:eastAsia="仿宋_GB2312" w:cs="仿宋_GB2312"/>
          <w:kern w:val="2"/>
          <w:sz w:val="32"/>
          <w:szCs w:val="32"/>
          <w:lang w:val="en-US" w:eastAsia="zh-CN" w:bidi="ar"/>
        </w:rPr>
        <w:t>。</w:t>
      </w:r>
    </w:p>
    <w:p w14:paraId="38C7F2D4">
      <w:pPr>
        <w:keepNext w:val="0"/>
        <w:keepLines w:val="0"/>
        <w:widowControl w:val="0"/>
        <w:suppressLineNumbers w:val="0"/>
        <w:autoSpaceDE w:val="0"/>
        <w:autoSpaceDN/>
        <w:spacing w:before="0" w:beforeAutospacing="0" w:after="0" w:afterAutospacing="0" w:line="560" w:lineRule="exact"/>
        <w:ind w:left="0" w:right="0" w:firstLine="640" w:firstLineChars="200"/>
        <w:jc w:val="both"/>
        <w:rPr>
          <w:rFonts w:hint="default" w:ascii="Times New Roman" w:hAnsi="Times New Roman" w:eastAsia="仿宋_GB2312" w:cs="Times New Roman"/>
          <w:sz w:val="32"/>
          <w:szCs w:val="32"/>
          <w:lang w:val="en-US"/>
        </w:rPr>
      </w:pPr>
    </w:p>
    <w:p w14:paraId="05477283">
      <w:pPr>
        <w:adjustRightInd w:val="0"/>
        <w:snapToGrid w:val="0"/>
        <w:spacing w:line="600" w:lineRule="exact"/>
        <w:rPr>
          <w:rFonts w:ascii="Times New Roman" w:hAnsi="Times New Roman" w:eastAsia="黑体"/>
          <w:sz w:val="32"/>
          <w:szCs w:val="32"/>
        </w:rPr>
      </w:pPr>
    </w:p>
    <w:sectPr>
      <w:footerReference r:id="rId3" w:type="default"/>
      <w:footerReference r:id="rId4" w:type="even"/>
      <w:pgSz w:w="11906" w:h="16838"/>
      <w:pgMar w:top="1440" w:right="1797" w:bottom="1440" w:left="1797" w:header="851" w:footer="992" w:gutter="0"/>
      <w:pgNumType w:fmt="numberInDash"/>
      <w:cols w:space="425" w:num="1"/>
      <w:titlePg/>
      <w:rtlGutter w:val="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2000000000000000000"/>
    <w:charset w:val="86"/>
    <w:family w:val="auto"/>
    <w:pitch w:val="default"/>
    <w:sig w:usb0="00000000" w:usb1="00000000" w:usb2="00000012"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704D7">
    <w:pPr>
      <w:pStyle w:val="6"/>
      <w:framePr w:wrap="around" w:vAnchor="text" w:hAnchor="margin" w:xAlign="outside" w:y="1"/>
      <w:rPr>
        <w:rStyle w:val="11"/>
        <w:rFonts w:ascii="Times New Roman" w:hAnsi="Times New Roman"/>
        <w:sz w:val="28"/>
        <w:szCs w:val="28"/>
      </w:rPr>
    </w:pPr>
    <w:r>
      <w:rPr>
        <w:rStyle w:val="11"/>
        <w:rFonts w:ascii="Times New Roman" w:hAnsi="Times New Roman"/>
        <w:sz w:val="28"/>
        <w:szCs w:val="28"/>
      </w:rPr>
      <w:fldChar w:fldCharType="begin"/>
    </w:r>
    <w:r>
      <w:rPr>
        <w:rStyle w:val="11"/>
        <w:rFonts w:ascii="Times New Roman" w:hAnsi="Times New Roman"/>
        <w:sz w:val="28"/>
        <w:szCs w:val="28"/>
      </w:rPr>
      <w:instrText xml:space="preserve">PAGE  </w:instrText>
    </w:r>
    <w:r>
      <w:rPr>
        <w:rStyle w:val="11"/>
        <w:rFonts w:ascii="Times New Roman" w:hAnsi="Times New Roman"/>
        <w:sz w:val="28"/>
        <w:szCs w:val="28"/>
      </w:rPr>
      <w:fldChar w:fldCharType="separate"/>
    </w:r>
    <w:r>
      <w:rPr>
        <w:rStyle w:val="11"/>
        <w:rFonts w:ascii="Times New Roman" w:hAnsi="Times New Roman"/>
        <w:sz w:val="28"/>
        <w:szCs w:val="28"/>
      </w:rPr>
      <w:t>- 15 -</w:t>
    </w:r>
    <w:r>
      <w:rPr>
        <w:rStyle w:val="11"/>
        <w:rFonts w:ascii="Times New Roman" w:hAnsi="Times New Roman"/>
        <w:sz w:val="28"/>
        <w:szCs w:val="28"/>
      </w:rPr>
      <w:fldChar w:fldCharType="end"/>
    </w:r>
  </w:p>
  <w:p w14:paraId="2C5932C1">
    <w:pPr>
      <w:pStyle w:val="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85648">
    <w:pPr>
      <w:pStyle w:val="6"/>
      <w:framePr w:wrap="around" w:vAnchor="text" w:hAnchor="margin" w:xAlign="outside" w:y="1"/>
      <w:rPr>
        <w:rStyle w:val="11"/>
      </w:rPr>
    </w:pPr>
    <w:r>
      <w:rPr>
        <w:rStyle w:val="11"/>
      </w:rPr>
      <w:fldChar w:fldCharType="begin"/>
    </w:r>
    <w:r>
      <w:rPr>
        <w:rStyle w:val="11"/>
      </w:rPr>
      <w:instrText xml:space="preserve">PAGE  </w:instrText>
    </w:r>
    <w:r>
      <w:rPr>
        <w:rStyle w:val="11"/>
      </w:rPr>
      <w:fldChar w:fldCharType="end"/>
    </w:r>
  </w:p>
  <w:p w14:paraId="4D3610C2">
    <w:pPr>
      <w:pStyle w:val="6"/>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M0ODA5MDU3NzA0OTliNzM3NzNlM2I0OWRjMjc2ZjMifQ=="/>
  </w:docVars>
  <w:rsids>
    <w:rsidRoot w:val="00C553EF"/>
    <w:rsid w:val="00012C93"/>
    <w:rsid w:val="000734E3"/>
    <w:rsid w:val="000773D5"/>
    <w:rsid w:val="00080625"/>
    <w:rsid w:val="00082293"/>
    <w:rsid w:val="00093B9D"/>
    <w:rsid w:val="00094646"/>
    <w:rsid w:val="000A561A"/>
    <w:rsid w:val="000D5E7F"/>
    <w:rsid w:val="000E2B59"/>
    <w:rsid w:val="000E2E9C"/>
    <w:rsid w:val="000F775C"/>
    <w:rsid w:val="00135131"/>
    <w:rsid w:val="00135395"/>
    <w:rsid w:val="00173AA9"/>
    <w:rsid w:val="00184AF2"/>
    <w:rsid w:val="001A7CAB"/>
    <w:rsid w:val="001B56F4"/>
    <w:rsid w:val="001B69B6"/>
    <w:rsid w:val="001B6D56"/>
    <w:rsid w:val="001C048E"/>
    <w:rsid w:val="00220A85"/>
    <w:rsid w:val="002238BB"/>
    <w:rsid w:val="00225BED"/>
    <w:rsid w:val="002320EB"/>
    <w:rsid w:val="002A03D6"/>
    <w:rsid w:val="002D01D7"/>
    <w:rsid w:val="002F05A3"/>
    <w:rsid w:val="003056F3"/>
    <w:rsid w:val="003126FC"/>
    <w:rsid w:val="00323CF3"/>
    <w:rsid w:val="0032533F"/>
    <w:rsid w:val="003A1408"/>
    <w:rsid w:val="003B7F5C"/>
    <w:rsid w:val="003E1FD6"/>
    <w:rsid w:val="003E5841"/>
    <w:rsid w:val="003F1540"/>
    <w:rsid w:val="004148E0"/>
    <w:rsid w:val="004217FE"/>
    <w:rsid w:val="00440BFE"/>
    <w:rsid w:val="00463FD5"/>
    <w:rsid w:val="00474AD0"/>
    <w:rsid w:val="00487AC5"/>
    <w:rsid w:val="00496F05"/>
    <w:rsid w:val="00537950"/>
    <w:rsid w:val="00551D43"/>
    <w:rsid w:val="00566BA9"/>
    <w:rsid w:val="005709FF"/>
    <w:rsid w:val="00581EEE"/>
    <w:rsid w:val="005851E9"/>
    <w:rsid w:val="00591495"/>
    <w:rsid w:val="00594AEE"/>
    <w:rsid w:val="005D031D"/>
    <w:rsid w:val="006264B7"/>
    <w:rsid w:val="00677EDD"/>
    <w:rsid w:val="006964D9"/>
    <w:rsid w:val="006F37DA"/>
    <w:rsid w:val="007109A0"/>
    <w:rsid w:val="007123D7"/>
    <w:rsid w:val="00713B58"/>
    <w:rsid w:val="00751BF0"/>
    <w:rsid w:val="00764972"/>
    <w:rsid w:val="00771B0E"/>
    <w:rsid w:val="007A6F2C"/>
    <w:rsid w:val="007B3731"/>
    <w:rsid w:val="007C3C5A"/>
    <w:rsid w:val="007E2D1B"/>
    <w:rsid w:val="007E3E71"/>
    <w:rsid w:val="008241E1"/>
    <w:rsid w:val="00835818"/>
    <w:rsid w:val="00847A3C"/>
    <w:rsid w:val="00893AEC"/>
    <w:rsid w:val="00940D4A"/>
    <w:rsid w:val="00971DB4"/>
    <w:rsid w:val="0097394E"/>
    <w:rsid w:val="009D0C0A"/>
    <w:rsid w:val="00A0127D"/>
    <w:rsid w:val="00A148B9"/>
    <w:rsid w:val="00A2187E"/>
    <w:rsid w:val="00A3605E"/>
    <w:rsid w:val="00A377C0"/>
    <w:rsid w:val="00A55C61"/>
    <w:rsid w:val="00A801F4"/>
    <w:rsid w:val="00AC12C1"/>
    <w:rsid w:val="00AC5F31"/>
    <w:rsid w:val="00AF15ED"/>
    <w:rsid w:val="00B049DD"/>
    <w:rsid w:val="00B17D23"/>
    <w:rsid w:val="00B62F82"/>
    <w:rsid w:val="00B702EE"/>
    <w:rsid w:val="00B86511"/>
    <w:rsid w:val="00B86BA1"/>
    <w:rsid w:val="00B9399A"/>
    <w:rsid w:val="00BD1721"/>
    <w:rsid w:val="00BD4955"/>
    <w:rsid w:val="00C23636"/>
    <w:rsid w:val="00C553EF"/>
    <w:rsid w:val="00C641BD"/>
    <w:rsid w:val="00C91F4C"/>
    <w:rsid w:val="00C9428C"/>
    <w:rsid w:val="00CC6012"/>
    <w:rsid w:val="00CD7E4E"/>
    <w:rsid w:val="00CE4DFE"/>
    <w:rsid w:val="00CF0AA7"/>
    <w:rsid w:val="00D64926"/>
    <w:rsid w:val="00D74987"/>
    <w:rsid w:val="00D812AD"/>
    <w:rsid w:val="00D8620A"/>
    <w:rsid w:val="00D90B2D"/>
    <w:rsid w:val="00DC7EE1"/>
    <w:rsid w:val="00DD4AA2"/>
    <w:rsid w:val="00DD5A15"/>
    <w:rsid w:val="00E01819"/>
    <w:rsid w:val="00E039BF"/>
    <w:rsid w:val="00E323CD"/>
    <w:rsid w:val="00E8571A"/>
    <w:rsid w:val="00E94B12"/>
    <w:rsid w:val="00EF0339"/>
    <w:rsid w:val="00F137EB"/>
    <w:rsid w:val="00F2080B"/>
    <w:rsid w:val="00F55DE1"/>
    <w:rsid w:val="00FA2BB2"/>
    <w:rsid w:val="00FC450D"/>
    <w:rsid w:val="00FD081E"/>
    <w:rsid w:val="00FE100B"/>
    <w:rsid w:val="00FE4826"/>
    <w:rsid w:val="01586B04"/>
    <w:rsid w:val="01590320"/>
    <w:rsid w:val="028D58A7"/>
    <w:rsid w:val="03043E77"/>
    <w:rsid w:val="03764BA4"/>
    <w:rsid w:val="04B137A1"/>
    <w:rsid w:val="06EF4AB2"/>
    <w:rsid w:val="07C71168"/>
    <w:rsid w:val="091F3E81"/>
    <w:rsid w:val="09B41B2C"/>
    <w:rsid w:val="0A0D53EC"/>
    <w:rsid w:val="0A84696E"/>
    <w:rsid w:val="0B45010B"/>
    <w:rsid w:val="0C020633"/>
    <w:rsid w:val="0C804976"/>
    <w:rsid w:val="0D605732"/>
    <w:rsid w:val="0DD57ECE"/>
    <w:rsid w:val="0E5C21FD"/>
    <w:rsid w:val="0F262ACD"/>
    <w:rsid w:val="0F53142C"/>
    <w:rsid w:val="14C76CB9"/>
    <w:rsid w:val="15DA6FC6"/>
    <w:rsid w:val="168B1A5F"/>
    <w:rsid w:val="16920812"/>
    <w:rsid w:val="1742657D"/>
    <w:rsid w:val="18934E7A"/>
    <w:rsid w:val="1C070A67"/>
    <w:rsid w:val="1D7465CC"/>
    <w:rsid w:val="21110E24"/>
    <w:rsid w:val="217D46AD"/>
    <w:rsid w:val="232778B2"/>
    <w:rsid w:val="236876C7"/>
    <w:rsid w:val="237A4F1A"/>
    <w:rsid w:val="262631DD"/>
    <w:rsid w:val="27063FDF"/>
    <w:rsid w:val="2C8F686D"/>
    <w:rsid w:val="2CA61530"/>
    <w:rsid w:val="2D7B4019"/>
    <w:rsid w:val="2E660FDE"/>
    <w:rsid w:val="2E7071F6"/>
    <w:rsid w:val="2EDC1978"/>
    <w:rsid w:val="2F472AA0"/>
    <w:rsid w:val="2FDC2547"/>
    <w:rsid w:val="31C90CD2"/>
    <w:rsid w:val="31DC486F"/>
    <w:rsid w:val="34E22D4D"/>
    <w:rsid w:val="37D56A93"/>
    <w:rsid w:val="398B5761"/>
    <w:rsid w:val="3A987BA2"/>
    <w:rsid w:val="3B1B4281"/>
    <w:rsid w:val="3B234381"/>
    <w:rsid w:val="3BFC0501"/>
    <w:rsid w:val="3E643684"/>
    <w:rsid w:val="3F52287D"/>
    <w:rsid w:val="416B7C26"/>
    <w:rsid w:val="41C61B6B"/>
    <w:rsid w:val="42F044DA"/>
    <w:rsid w:val="431F6A03"/>
    <w:rsid w:val="44A75419"/>
    <w:rsid w:val="46E20293"/>
    <w:rsid w:val="485B4839"/>
    <w:rsid w:val="4A6F6D2D"/>
    <w:rsid w:val="4B92138C"/>
    <w:rsid w:val="4B95421D"/>
    <w:rsid w:val="4D0A12F6"/>
    <w:rsid w:val="4DA63D16"/>
    <w:rsid w:val="4E516B22"/>
    <w:rsid w:val="522E2CD6"/>
    <w:rsid w:val="55D63CAA"/>
    <w:rsid w:val="56374A61"/>
    <w:rsid w:val="567027DE"/>
    <w:rsid w:val="577B43C0"/>
    <w:rsid w:val="57EB7CF4"/>
    <w:rsid w:val="58254184"/>
    <w:rsid w:val="58F057FE"/>
    <w:rsid w:val="591C2557"/>
    <w:rsid w:val="5A6E2D45"/>
    <w:rsid w:val="5C2F64BB"/>
    <w:rsid w:val="5DE14588"/>
    <w:rsid w:val="5F247EBB"/>
    <w:rsid w:val="6031230F"/>
    <w:rsid w:val="605401EB"/>
    <w:rsid w:val="609A4BD3"/>
    <w:rsid w:val="61AD0E18"/>
    <w:rsid w:val="624A76B8"/>
    <w:rsid w:val="62882016"/>
    <w:rsid w:val="62EE2458"/>
    <w:rsid w:val="62F62474"/>
    <w:rsid w:val="640815D9"/>
    <w:rsid w:val="65A22784"/>
    <w:rsid w:val="65B31738"/>
    <w:rsid w:val="66B91727"/>
    <w:rsid w:val="66DF1A9B"/>
    <w:rsid w:val="6AF80B9B"/>
    <w:rsid w:val="6BAD2A66"/>
    <w:rsid w:val="6CDE3E9F"/>
    <w:rsid w:val="6CED41BB"/>
    <w:rsid w:val="6E096DB4"/>
    <w:rsid w:val="6EF74444"/>
    <w:rsid w:val="701B67C5"/>
    <w:rsid w:val="71125845"/>
    <w:rsid w:val="71692AF0"/>
    <w:rsid w:val="71B307A3"/>
    <w:rsid w:val="72C40ECA"/>
    <w:rsid w:val="744146FD"/>
    <w:rsid w:val="744D2A74"/>
    <w:rsid w:val="75E10DA6"/>
    <w:rsid w:val="773A3B3B"/>
    <w:rsid w:val="77A24B7F"/>
    <w:rsid w:val="79336CA0"/>
    <w:rsid w:val="79A2386E"/>
    <w:rsid w:val="7B4E77F7"/>
    <w:rsid w:val="7E0A5DEF"/>
    <w:rsid w:val="7EBB755F"/>
    <w:rsid w:val="7F20194F"/>
    <w:rsid w:val="7F4A2182"/>
    <w:rsid w:val="7F531EB8"/>
    <w:rsid w:val="7F910F92"/>
    <w:rsid w:val="7F9F76B6"/>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nhideWhenUsed="0" w:uiPriority="0"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2">
    <w:name w:val="footnote text"/>
    <w:basedOn w:val="1"/>
    <w:next w:val="3"/>
    <w:link w:val="22"/>
    <w:unhideWhenUsed/>
    <w:qFormat/>
    <w:uiPriority w:val="99"/>
    <w:pPr>
      <w:keepNext w:val="0"/>
      <w:keepLines w:val="0"/>
      <w:widowControl w:val="0"/>
      <w:suppressLineNumbers w:val="0"/>
      <w:snapToGrid w:val="0"/>
      <w:spacing w:before="0" w:beforeAutospacing="0" w:after="0" w:afterAutospacing="0"/>
      <w:ind w:left="0" w:right="0"/>
      <w:jc w:val="left"/>
    </w:pPr>
    <w:rPr>
      <w:rFonts w:hint="default" w:ascii="Calibri" w:hAnsi="Calibri" w:eastAsia="宋体" w:cs="Times New Roman"/>
      <w:kern w:val="2"/>
      <w:sz w:val="18"/>
      <w:szCs w:val="18"/>
      <w:lang w:val="en-US" w:eastAsia="zh-CN" w:bidi="ar"/>
    </w:rPr>
  </w:style>
  <w:style w:type="paragraph" w:styleId="3">
    <w:name w:val="Body Text"/>
    <w:basedOn w:val="1"/>
    <w:next w:val="1"/>
    <w:link w:val="23"/>
    <w:qFormat/>
    <w:uiPriority w:val="0"/>
    <w:pPr>
      <w:snapToGrid w:val="0"/>
      <w:spacing w:line="579" w:lineRule="exact"/>
    </w:pPr>
    <w:rPr>
      <w:rFonts w:eastAsia="仿宋_GB2312"/>
      <w:sz w:val="32"/>
    </w:rPr>
  </w:style>
  <w:style w:type="paragraph" w:styleId="4">
    <w:name w:val="annotation text"/>
    <w:basedOn w:val="1"/>
    <w:link w:val="14"/>
    <w:qFormat/>
    <w:uiPriority w:val="99"/>
    <w:pPr>
      <w:jc w:val="left"/>
    </w:pPr>
    <w:rPr>
      <w:rFonts w:ascii="Times New Roman" w:hAnsi="Times New Roman"/>
      <w:szCs w:val="24"/>
    </w:rPr>
  </w:style>
  <w:style w:type="paragraph" w:styleId="5">
    <w:name w:val="Balloon Text"/>
    <w:basedOn w:val="1"/>
    <w:link w:val="15"/>
    <w:qFormat/>
    <w:uiPriority w:val="99"/>
    <w:rPr>
      <w:rFonts w:ascii="Times New Roman" w:hAnsi="Times New Roman"/>
      <w:sz w:val="18"/>
      <w:szCs w:val="18"/>
    </w:rPr>
  </w:style>
  <w:style w:type="paragraph" w:styleId="6">
    <w:name w:val="footer"/>
    <w:basedOn w:val="1"/>
    <w:link w:val="16"/>
    <w:qFormat/>
    <w:uiPriority w:val="99"/>
    <w:pPr>
      <w:tabs>
        <w:tab w:val="center" w:pos="4153"/>
        <w:tab w:val="right" w:pos="8306"/>
      </w:tabs>
      <w:snapToGrid w:val="0"/>
      <w:jc w:val="left"/>
    </w:pPr>
    <w:rPr>
      <w:sz w:val="18"/>
      <w:szCs w:val="18"/>
    </w:rPr>
  </w:style>
  <w:style w:type="paragraph" w:styleId="7">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qFormat/>
    <w:uiPriority w:val="99"/>
    <w:pPr>
      <w:widowControl/>
      <w:spacing w:before="100" w:beforeAutospacing="1" w:after="100" w:afterAutospacing="1"/>
      <w:jc w:val="left"/>
    </w:pPr>
    <w:rPr>
      <w:rFonts w:ascii="宋体" w:hAnsi="宋体" w:cs="宋体"/>
      <w:kern w:val="0"/>
      <w:sz w:val="24"/>
      <w:szCs w:val="24"/>
    </w:rPr>
  </w:style>
  <w:style w:type="character" w:styleId="11">
    <w:name w:val="page number"/>
    <w:basedOn w:val="10"/>
    <w:qFormat/>
    <w:uiPriority w:val="99"/>
    <w:rPr>
      <w:rFonts w:cs="Times New Roman"/>
    </w:rPr>
  </w:style>
  <w:style w:type="character" w:styleId="12">
    <w:name w:val="Hyperlink"/>
    <w:basedOn w:val="10"/>
    <w:unhideWhenUsed/>
    <w:qFormat/>
    <w:uiPriority w:val="99"/>
    <w:rPr>
      <w:color w:val="0000FF" w:themeColor="hyperlink"/>
      <w:u w:val="single"/>
    </w:rPr>
  </w:style>
  <w:style w:type="character" w:styleId="13">
    <w:name w:val="annotation reference"/>
    <w:basedOn w:val="10"/>
    <w:qFormat/>
    <w:uiPriority w:val="99"/>
    <w:rPr>
      <w:rFonts w:cs="Times New Roman"/>
      <w:sz w:val="21"/>
      <w:szCs w:val="21"/>
    </w:rPr>
  </w:style>
  <w:style w:type="character" w:customStyle="1" w:styleId="14">
    <w:name w:val="批注文字 Char"/>
    <w:basedOn w:val="10"/>
    <w:link w:val="4"/>
    <w:qFormat/>
    <w:locked/>
    <w:uiPriority w:val="99"/>
    <w:rPr>
      <w:rFonts w:ascii="Times New Roman" w:hAnsi="Times New Roman" w:eastAsia="宋体" w:cs="Times New Roman"/>
      <w:sz w:val="24"/>
      <w:szCs w:val="24"/>
    </w:rPr>
  </w:style>
  <w:style w:type="character" w:customStyle="1" w:styleId="15">
    <w:name w:val="批注框文本 Char"/>
    <w:basedOn w:val="10"/>
    <w:link w:val="5"/>
    <w:qFormat/>
    <w:locked/>
    <w:uiPriority w:val="99"/>
    <w:rPr>
      <w:rFonts w:ascii="Times New Roman" w:hAnsi="Times New Roman" w:eastAsia="宋体" w:cs="Times New Roman"/>
      <w:sz w:val="18"/>
      <w:szCs w:val="18"/>
    </w:rPr>
  </w:style>
  <w:style w:type="character" w:customStyle="1" w:styleId="16">
    <w:name w:val="页脚 Char"/>
    <w:basedOn w:val="10"/>
    <w:link w:val="6"/>
    <w:qFormat/>
    <w:locked/>
    <w:uiPriority w:val="99"/>
    <w:rPr>
      <w:rFonts w:cs="Times New Roman"/>
      <w:sz w:val="18"/>
      <w:szCs w:val="18"/>
    </w:rPr>
  </w:style>
  <w:style w:type="character" w:customStyle="1" w:styleId="17">
    <w:name w:val="页眉 Char"/>
    <w:basedOn w:val="10"/>
    <w:link w:val="7"/>
    <w:qFormat/>
    <w:locked/>
    <w:uiPriority w:val="99"/>
    <w:rPr>
      <w:rFonts w:cs="Times New Roman"/>
      <w:sz w:val="18"/>
      <w:szCs w:val="18"/>
    </w:rPr>
  </w:style>
  <w:style w:type="paragraph" w:customStyle="1" w:styleId="18">
    <w:name w:val="列出段落1"/>
    <w:basedOn w:val="1"/>
    <w:qFormat/>
    <w:uiPriority w:val="99"/>
    <w:pPr>
      <w:ind w:firstLine="420" w:firstLineChars="200"/>
    </w:pPr>
    <w:rPr>
      <w:rFonts w:ascii="Times New Roman" w:hAnsi="Times New Roman"/>
      <w:szCs w:val="24"/>
    </w:rPr>
  </w:style>
  <w:style w:type="paragraph" w:styleId="19">
    <w:name w:val="List Paragraph"/>
    <w:basedOn w:val="1"/>
    <w:qFormat/>
    <w:uiPriority w:val="99"/>
    <w:pPr>
      <w:ind w:firstLine="420" w:firstLineChars="200"/>
    </w:pPr>
    <w:rPr>
      <w:rFonts w:ascii="Times New Roman" w:hAnsi="Times New Roman"/>
      <w:szCs w:val="24"/>
    </w:rPr>
  </w:style>
  <w:style w:type="paragraph" w:customStyle="1" w:styleId="20">
    <w:name w:val="修订1"/>
    <w:hidden/>
    <w:qFormat/>
    <w:uiPriority w:val="99"/>
    <w:rPr>
      <w:rFonts w:ascii="Times New Roman" w:hAnsi="Times New Roman" w:eastAsia="宋体" w:cs="Times New Roman"/>
      <w:kern w:val="2"/>
      <w:sz w:val="21"/>
      <w:szCs w:val="24"/>
      <w:lang w:val="en-US" w:eastAsia="zh-CN" w:bidi="ar-SA"/>
    </w:rPr>
  </w:style>
  <w:style w:type="character" w:customStyle="1" w:styleId="21">
    <w:name w:val="font21"/>
    <w:basedOn w:val="10"/>
    <w:qFormat/>
    <w:uiPriority w:val="0"/>
    <w:rPr>
      <w:rFonts w:hint="eastAsia" w:ascii="仿宋_GB2312" w:eastAsia="仿宋_GB2312" w:cs="仿宋_GB2312"/>
      <w:color w:val="000000"/>
      <w:sz w:val="22"/>
      <w:szCs w:val="22"/>
      <w:u w:val="none"/>
    </w:rPr>
  </w:style>
  <w:style w:type="character" w:customStyle="1" w:styleId="22">
    <w:name w:val="脚注文本 Char"/>
    <w:basedOn w:val="10"/>
    <w:link w:val="2"/>
    <w:qFormat/>
    <w:uiPriority w:val="0"/>
    <w:rPr>
      <w:rFonts w:hint="default" w:ascii="Calibri" w:hAnsi="Calibri" w:cs="Calibri"/>
      <w:kern w:val="2"/>
      <w:sz w:val="18"/>
      <w:szCs w:val="18"/>
    </w:rPr>
  </w:style>
  <w:style w:type="character" w:customStyle="1" w:styleId="23">
    <w:name w:val="正文文本 Char"/>
    <w:basedOn w:val="10"/>
    <w:link w:val="3"/>
    <w:qFormat/>
    <w:uiPriority w:val="0"/>
    <w:rPr>
      <w:rFonts w:hint="default" w:ascii="Calibri" w:hAnsi="Calibri" w:eastAsia="仿宋_GB2312" w:cs="Calibri"/>
      <w:kern w:val="2"/>
      <w:sz w:val="32"/>
      <w:szCs w:val="22"/>
    </w:rPr>
  </w:style>
  <w:style w:type="paragraph" w:styleId="24">
    <w:name w:val="No Spacing"/>
    <w:next w:val="1"/>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1334</Words>
  <Characters>1363</Characters>
  <Lines>36</Lines>
  <Paragraphs>10</Paragraphs>
  <TotalTime>2</TotalTime>
  <ScaleCrop>false</ScaleCrop>
  <LinksUpToDate>false</LinksUpToDate>
  <CharactersWithSpaces>1365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2021-01-21T07:42:00Z</dcterms:created>
  <dc:creator>lenovo</dc:creator>
  <cp:lastModifiedBy>邓婷</cp:lastModifiedBy>
  <cp:lastPrinted>2024-04-08T00:18:00Z</cp:lastPrinted>
  <dcterms:modified xsi:type="dcterms:W3CDTF">2025-10-09T01:37:33Z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05A3344A75BF4096A4DCE5DEC370004C</vt:lpwstr>
  </property>
  <property fmtid="{D5CDD505-2E9C-101B-9397-08002B2CF9AE}" pid="4" name="KSOTemplateDocerSaveRecord">
    <vt:lpwstr>eyJoZGlkIjoiYzcyNDI3NjdjZTYxODY2MDcwNjk4OTAxM2VlY2VhOGIiLCJ1c2VySWQiOiIxMDY5MjgzMDcxIn0=</vt:lpwstr>
  </property>
</Properties>
</file>